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C4C" w:rsidRDefault="00C3391D">
      <w:r>
        <w:t>CORRECTIONS AND UPDATES</w:t>
      </w:r>
      <w:r w:rsidR="00931DBE">
        <w:t>_</w:t>
      </w:r>
      <w:r w:rsidR="007B1300">
        <w:t>NOV 15, 2017</w:t>
      </w:r>
      <w:bookmarkStart w:id="0" w:name="_GoBack"/>
      <w:bookmarkEnd w:id="0"/>
    </w:p>
    <w:tbl>
      <w:tblPr>
        <w:tblStyle w:val="TableGrid"/>
        <w:tblW w:w="0" w:type="auto"/>
        <w:tblLook w:val="04A0" w:firstRow="1" w:lastRow="0" w:firstColumn="1" w:lastColumn="0" w:noHBand="0" w:noVBand="1"/>
      </w:tblPr>
      <w:tblGrid>
        <w:gridCol w:w="1163"/>
        <w:gridCol w:w="2170"/>
        <w:gridCol w:w="6017"/>
      </w:tblGrid>
      <w:tr w:rsidR="00D7308C" w:rsidTr="00D7308C">
        <w:tc>
          <w:tcPr>
            <w:tcW w:w="805" w:type="dxa"/>
          </w:tcPr>
          <w:p w:rsidR="00D7308C" w:rsidRPr="00D7308C" w:rsidRDefault="00D7308C" w:rsidP="00D7308C">
            <w:pPr>
              <w:jc w:val="center"/>
              <w:rPr>
                <w:b/>
              </w:rPr>
            </w:pPr>
            <w:r w:rsidRPr="00D7308C">
              <w:rPr>
                <w:b/>
              </w:rPr>
              <w:t>Page</w:t>
            </w:r>
          </w:p>
        </w:tc>
        <w:tc>
          <w:tcPr>
            <w:tcW w:w="2250" w:type="dxa"/>
          </w:tcPr>
          <w:p w:rsidR="00D7308C" w:rsidRPr="00D7308C" w:rsidRDefault="00D7308C" w:rsidP="00D7308C">
            <w:pPr>
              <w:jc w:val="center"/>
              <w:rPr>
                <w:b/>
              </w:rPr>
            </w:pPr>
            <w:r w:rsidRPr="00D7308C">
              <w:rPr>
                <w:b/>
              </w:rPr>
              <w:t>Location</w:t>
            </w:r>
          </w:p>
        </w:tc>
        <w:tc>
          <w:tcPr>
            <w:tcW w:w="6295" w:type="dxa"/>
          </w:tcPr>
          <w:p w:rsidR="00D7308C" w:rsidRPr="00D7308C" w:rsidRDefault="00D7308C" w:rsidP="00D7308C">
            <w:pPr>
              <w:jc w:val="center"/>
              <w:rPr>
                <w:b/>
              </w:rPr>
            </w:pPr>
            <w:r w:rsidRPr="00D7308C">
              <w:rPr>
                <w:b/>
              </w:rPr>
              <w:t>Correction</w:t>
            </w:r>
            <w:r w:rsidR="00D765CC">
              <w:rPr>
                <w:b/>
              </w:rPr>
              <w:t>s/Comments</w:t>
            </w:r>
          </w:p>
        </w:tc>
      </w:tr>
      <w:tr w:rsidR="00D7308C" w:rsidTr="00D7308C">
        <w:tc>
          <w:tcPr>
            <w:tcW w:w="805" w:type="dxa"/>
          </w:tcPr>
          <w:p w:rsidR="00D7308C" w:rsidRDefault="00D7308C"/>
        </w:tc>
        <w:tc>
          <w:tcPr>
            <w:tcW w:w="2250" w:type="dxa"/>
          </w:tcPr>
          <w:p w:rsidR="00D7308C" w:rsidRDefault="00D7308C"/>
        </w:tc>
        <w:tc>
          <w:tcPr>
            <w:tcW w:w="6295" w:type="dxa"/>
          </w:tcPr>
          <w:p w:rsidR="00D7308C" w:rsidRDefault="00D7308C"/>
        </w:tc>
      </w:tr>
      <w:tr w:rsidR="00E240C3" w:rsidTr="00D7308C">
        <w:tc>
          <w:tcPr>
            <w:tcW w:w="805" w:type="dxa"/>
          </w:tcPr>
          <w:p w:rsidR="00E240C3" w:rsidRPr="005B0938" w:rsidRDefault="005D6709">
            <w:pPr>
              <w:rPr>
                <w:sz w:val="22"/>
                <w:szCs w:val="22"/>
              </w:rPr>
            </w:pPr>
            <w:r>
              <w:rPr>
                <w:sz w:val="22"/>
                <w:szCs w:val="22"/>
              </w:rPr>
              <w:t>86</w:t>
            </w:r>
          </w:p>
        </w:tc>
        <w:tc>
          <w:tcPr>
            <w:tcW w:w="2250" w:type="dxa"/>
          </w:tcPr>
          <w:p w:rsidR="00E240C3" w:rsidRPr="005B0938" w:rsidRDefault="005D6709">
            <w:pPr>
              <w:rPr>
                <w:sz w:val="22"/>
                <w:szCs w:val="22"/>
              </w:rPr>
            </w:pPr>
            <w:r>
              <w:rPr>
                <w:sz w:val="22"/>
                <w:szCs w:val="22"/>
              </w:rPr>
              <w:t>Section 3.7.1</w:t>
            </w:r>
          </w:p>
        </w:tc>
        <w:tc>
          <w:tcPr>
            <w:tcW w:w="6295" w:type="dxa"/>
          </w:tcPr>
          <w:p w:rsidR="00E240C3" w:rsidRPr="005B0938" w:rsidRDefault="005D6709">
            <w:pPr>
              <w:rPr>
                <w:sz w:val="22"/>
                <w:szCs w:val="22"/>
              </w:rPr>
            </w:pPr>
            <w:r w:rsidRPr="005D6709">
              <w:rPr>
                <w:sz w:val="22"/>
                <w:szCs w:val="22"/>
              </w:rPr>
              <w:t>When a transformation is used, the forecast obtained from the reverse transform is unbiased in the median, but not in the mean. Some authors recommend adjusting for such a bias, but we are not convinced that this step leads to improved forecasts.</w:t>
            </w:r>
          </w:p>
        </w:tc>
      </w:tr>
      <w:tr w:rsidR="00F70941" w:rsidTr="00D7308C">
        <w:tc>
          <w:tcPr>
            <w:tcW w:w="805" w:type="dxa"/>
          </w:tcPr>
          <w:p w:rsidR="00F70941" w:rsidRDefault="00D765CC">
            <w:pPr>
              <w:rPr>
                <w:sz w:val="22"/>
                <w:szCs w:val="22"/>
              </w:rPr>
            </w:pPr>
            <w:r>
              <w:rPr>
                <w:sz w:val="22"/>
                <w:szCs w:val="22"/>
              </w:rPr>
              <w:t>88</w:t>
            </w:r>
          </w:p>
        </w:tc>
        <w:tc>
          <w:tcPr>
            <w:tcW w:w="2250" w:type="dxa"/>
          </w:tcPr>
          <w:p w:rsidR="00F70941" w:rsidRDefault="00D765CC">
            <w:pPr>
              <w:rPr>
                <w:sz w:val="22"/>
                <w:szCs w:val="22"/>
              </w:rPr>
            </w:pPr>
            <w:r>
              <w:rPr>
                <w:sz w:val="22"/>
                <w:szCs w:val="22"/>
              </w:rPr>
              <w:t>Table 3.12</w:t>
            </w:r>
          </w:p>
        </w:tc>
        <w:tc>
          <w:tcPr>
            <w:tcW w:w="6295" w:type="dxa"/>
          </w:tcPr>
          <w:p w:rsidR="00F70941" w:rsidRPr="005D6709" w:rsidRDefault="00D765CC">
            <w:pPr>
              <w:rPr>
                <w:sz w:val="22"/>
                <w:szCs w:val="22"/>
              </w:rPr>
            </w:pPr>
            <w:r>
              <w:rPr>
                <w:sz w:val="22"/>
                <w:szCs w:val="22"/>
              </w:rPr>
              <w:t>The analysis is based upon the “Growth” series. However, the error measures are computed after transforming back to the original series.</w:t>
            </w:r>
          </w:p>
        </w:tc>
      </w:tr>
      <w:tr w:rsidR="00D765CC" w:rsidTr="00D7308C">
        <w:tc>
          <w:tcPr>
            <w:tcW w:w="805" w:type="dxa"/>
          </w:tcPr>
          <w:p w:rsidR="00D765CC" w:rsidRPr="005B0938" w:rsidRDefault="00C3391D">
            <w:pPr>
              <w:rPr>
                <w:sz w:val="22"/>
                <w:szCs w:val="22"/>
              </w:rPr>
            </w:pPr>
            <w:r>
              <w:rPr>
                <w:sz w:val="22"/>
                <w:szCs w:val="22"/>
              </w:rPr>
              <w:t>90</w:t>
            </w:r>
          </w:p>
        </w:tc>
        <w:tc>
          <w:tcPr>
            <w:tcW w:w="2250" w:type="dxa"/>
          </w:tcPr>
          <w:p w:rsidR="00D765CC" w:rsidRPr="005B0938" w:rsidRDefault="00D765CC">
            <w:pPr>
              <w:rPr>
                <w:sz w:val="22"/>
                <w:szCs w:val="22"/>
              </w:rPr>
            </w:pPr>
            <w:r>
              <w:rPr>
                <w:sz w:val="22"/>
                <w:szCs w:val="22"/>
              </w:rPr>
              <w:t>Table 3.13</w:t>
            </w:r>
          </w:p>
        </w:tc>
        <w:tc>
          <w:tcPr>
            <w:tcW w:w="6295" w:type="dxa"/>
          </w:tcPr>
          <w:p w:rsidR="00D765CC" w:rsidRPr="005B0938" w:rsidRDefault="00D765CC">
            <w:pPr>
              <w:rPr>
                <w:sz w:val="22"/>
                <w:szCs w:val="22"/>
              </w:rPr>
            </w:pPr>
            <w:r>
              <w:rPr>
                <w:sz w:val="22"/>
                <w:szCs w:val="22"/>
              </w:rPr>
              <w:t>The entries in this table used an earlier version of the ESM, which allowed for fitting by minimizing the MAE or the MAPE as well as the MSE. However, this version lacked many of the features of the current ESM. Thus, it should be noted that the numerical results differ from those that would be obtained using the current ESM.</w:t>
            </w:r>
          </w:p>
        </w:tc>
      </w:tr>
      <w:tr w:rsidR="00D7308C" w:rsidTr="00D7308C">
        <w:tc>
          <w:tcPr>
            <w:tcW w:w="805" w:type="dxa"/>
          </w:tcPr>
          <w:p w:rsidR="00D7308C" w:rsidRPr="005B0938" w:rsidRDefault="00D7308C">
            <w:pPr>
              <w:rPr>
                <w:sz w:val="22"/>
                <w:szCs w:val="22"/>
              </w:rPr>
            </w:pPr>
            <w:r w:rsidRPr="005B0938">
              <w:rPr>
                <w:sz w:val="22"/>
                <w:szCs w:val="22"/>
              </w:rPr>
              <w:t>201</w:t>
            </w:r>
          </w:p>
        </w:tc>
        <w:tc>
          <w:tcPr>
            <w:tcW w:w="2250" w:type="dxa"/>
          </w:tcPr>
          <w:p w:rsidR="00D7308C" w:rsidRPr="005B0938" w:rsidRDefault="00D7308C">
            <w:pPr>
              <w:rPr>
                <w:sz w:val="22"/>
                <w:szCs w:val="22"/>
              </w:rPr>
            </w:pPr>
            <w:r w:rsidRPr="005B0938">
              <w:rPr>
                <w:sz w:val="22"/>
                <w:szCs w:val="22"/>
              </w:rPr>
              <w:t>Exercise 6.9</w:t>
            </w:r>
          </w:p>
        </w:tc>
        <w:tc>
          <w:tcPr>
            <w:tcW w:w="6295" w:type="dxa"/>
          </w:tcPr>
          <w:p w:rsidR="00D7308C" w:rsidRPr="005B0938" w:rsidRDefault="00D7308C">
            <w:pPr>
              <w:rPr>
                <w:sz w:val="22"/>
                <w:szCs w:val="22"/>
              </w:rPr>
            </w:pPr>
            <w:r w:rsidRPr="005B0938">
              <w:rPr>
                <w:sz w:val="22"/>
                <w:szCs w:val="22"/>
              </w:rPr>
              <w:t>Series is monthly, not quarterly. Use Jan-2001 to Dec 2012 as estimation sample, last three years as hold-out</w:t>
            </w:r>
          </w:p>
        </w:tc>
      </w:tr>
      <w:tr w:rsidR="00626FAA" w:rsidTr="00D7308C">
        <w:tc>
          <w:tcPr>
            <w:tcW w:w="805" w:type="dxa"/>
          </w:tcPr>
          <w:p w:rsidR="00626FAA" w:rsidRPr="005B0938" w:rsidRDefault="00626FAA">
            <w:pPr>
              <w:rPr>
                <w:sz w:val="22"/>
                <w:szCs w:val="22"/>
              </w:rPr>
            </w:pPr>
            <w:r>
              <w:rPr>
                <w:sz w:val="22"/>
                <w:szCs w:val="22"/>
              </w:rPr>
              <w:t>202</w:t>
            </w:r>
          </w:p>
        </w:tc>
        <w:tc>
          <w:tcPr>
            <w:tcW w:w="2250" w:type="dxa"/>
          </w:tcPr>
          <w:p w:rsidR="00626FAA" w:rsidRPr="005B0938" w:rsidRDefault="00626FAA">
            <w:pPr>
              <w:rPr>
                <w:sz w:val="22"/>
                <w:szCs w:val="22"/>
              </w:rPr>
            </w:pPr>
            <w:r>
              <w:rPr>
                <w:sz w:val="22"/>
                <w:szCs w:val="22"/>
              </w:rPr>
              <w:t>Exercise 6.22</w:t>
            </w:r>
          </w:p>
        </w:tc>
        <w:tc>
          <w:tcPr>
            <w:tcW w:w="6295" w:type="dxa"/>
          </w:tcPr>
          <w:p w:rsidR="00626FAA" w:rsidRDefault="00626FAA">
            <w:pPr>
              <w:rPr>
                <w:sz w:val="22"/>
                <w:szCs w:val="22"/>
              </w:rPr>
            </w:pPr>
            <w:r>
              <w:rPr>
                <w:sz w:val="22"/>
                <w:szCs w:val="22"/>
              </w:rPr>
              <w:t>Second sentence should read:</w:t>
            </w:r>
          </w:p>
          <w:p w:rsidR="00626FAA" w:rsidRPr="005B0938" w:rsidRDefault="00626FAA">
            <w:pPr>
              <w:rPr>
                <w:sz w:val="22"/>
                <w:szCs w:val="22"/>
              </w:rPr>
            </w:pPr>
            <w:r>
              <w:rPr>
                <w:sz w:val="22"/>
                <w:szCs w:val="22"/>
              </w:rPr>
              <w:t xml:space="preserve">Now consider the </w:t>
            </w:r>
            <w:proofErr w:type="gramStart"/>
            <w:r>
              <w:rPr>
                <w:sz w:val="22"/>
                <w:szCs w:val="22"/>
              </w:rPr>
              <w:t>ARIMA(</w:t>
            </w:r>
            <w:proofErr w:type="gramEnd"/>
            <w:r>
              <w:rPr>
                <w:sz w:val="22"/>
                <w:szCs w:val="22"/>
              </w:rPr>
              <w:t xml:space="preserve">0,1,1) scheme </w:t>
            </w:r>
            <w:r w:rsidRPr="00822936">
              <w:rPr>
                <w:position w:val="-12"/>
              </w:rPr>
              <w:object w:dxaOrig="14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2.75pt;height:18pt" o:ole="">
                  <v:imagedata r:id="rId4" o:title=""/>
                </v:shape>
                <o:OLEObject Type="Embed" ProgID="Equation.DSMT4" ShapeID="_x0000_i1037" DrawAspect="Content" ObjectID="_1572268696" r:id="rId5"/>
              </w:object>
            </w:r>
          </w:p>
        </w:tc>
      </w:tr>
      <w:tr w:rsidR="007A1302" w:rsidTr="00D7308C">
        <w:tc>
          <w:tcPr>
            <w:tcW w:w="805" w:type="dxa"/>
          </w:tcPr>
          <w:p w:rsidR="007A1302" w:rsidRDefault="007A1302">
            <w:pPr>
              <w:rPr>
                <w:sz w:val="22"/>
                <w:szCs w:val="22"/>
              </w:rPr>
            </w:pPr>
            <w:r>
              <w:rPr>
                <w:sz w:val="22"/>
                <w:szCs w:val="22"/>
              </w:rPr>
              <w:t>232</w:t>
            </w:r>
          </w:p>
        </w:tc>
        <w:tc>
          <w:tcPr>
            <w:tcW w:w="2250" w:type="dxa"/>
          </w:tcPr>
          <w:p w:rsidR="007A1302" w:rsidRDefault="007A1302">
            <w:pPr>
              <w:rPr>
                <w:sz w:val="22"/>
                <w:szCs w:val="22"/>
              </w:rPr>
            </w:pPr>
            <w:r>
              <w:rPr>
                <w:sz w:val="22"/>
                <w:szCs w:val="22"/>
              </w:rPr>
              <w:t>Equation (7.16)</w:t>
            </w:r>
          </w:p>
        </w:tc>
        <w:tc>
          <w:tcPr>
            <w:tcW w:w="6295" w:type="dxa"/>
          </w:tcPr>
          <w:p w:rsidR="007A1302" w:rsidRDefault="007A1302">
            <w:pPr>
              <w:rPr>
                <w:sz w:val="22"/>
                <w:szCs w:val="22"/>
              </w:rPr>
            </w:pPr>
            <w:r>
              <w:rPr>
                <w:sz w:val="22"/>
                <w:szCs w:val="22"/>
              </w:rPr>
              <w:t>Equation number should be right-justified</w:t>
            </w:r>
          </w:p>
        </w:tc>
      </w:tr>
      <w:tr w:rsidR="007A1302" w:rsidTr="00D7308C">
        <w:tc>
          <w:tcPr>
            <w:tcW w:w="805" w:type="dxa"/>
          </w:tcPr>
          <w:p w:rsidR="007A1302" w:rsidRPr="005B0938" w:rsidRDefault="007A1302" w:rsidP="007A1302">
            <w:pPr>
              <w:rPr>
                <w:sz w:val="22"/>
                <w:szCs w:val="22"/>
              </w:rPr>
            </w:pPr>
            <w:r w:rsidRPr="005B0938">
              <w:rPr>
                <w:sz w:val="22"/>
                <w:szCs w:val="22"/>
              </w:rPr>
              <w:t>320</w:t>
            </w:r>
          </w:p>
        </w:tc>
        <w:tc>
          <w:tcPr>
            <w:tcW w:w="2250" w:type="dxa"/>
          </w:tcPr>
          <w:p w:rsidR="007A1302" w:rsidRPr="005B0938" w:rsidRDefault="007A1302" w:rsidP="007A1302">
            <w:pPr>
              <w:rPr>
                <w:sz w:val="22"/>
                <w:szCs w:val="22"/>
              </w:rPr>
            </w:pPr>
            <w:r w:rsidRPr="005B0938">
              <w:rPr>
                <w:sz w:val="22"/>
                <w:szCs w:val="22"/>
              </w:rPr>
              <w:t>Exercise 9.13</w:t>
            </w:r>
          </w:p>
        </w:tc>
        <w:tc>
          <w:tcPr>
            <w:tcW w:w="6295" w:type="dxa"/>
          </w:tcPr>
          <w:p w:rsidR="007A1302" w:rsidRPr="005B0938" w:rsidRDefault="007A1302" w:rsidP="007A1302">
            <w:pPr>
              <w:shd w:val="clear" w:color="auto" w:fill="FFFFFF"/>
              <w:rPr>
                <w:rFonts w:eastAsia="Times New Roman"/>
                <w:color w:val="222222"/>
                <w:sz w:val="22"/>
                <w:szCs w:val="22"/>
              </w:rPr>
            </w:pPr>
            <w:r w:rsidRPr="005B0938">
              <w:rPr>
                <w:rFonts w:eastAsia="Times New Roman"/>
                <w:color w:val="222222"/>
                <w:sz w:val="22"/>
                <w:szCs w:val="22"/>
              </w:rPr>
              <w:t>There is a lack of clarity in this question as to which models should be considered. We suggest the models with the following explanatory variables:</w:t>
            </w:r>
          </w:p>
          <w:p w:rsidR="007A1302" w:rsidRPr="005B0938" w:rsidRDefault="007A1302" w:rsidP="007A1302">
            <w:pPr>
              <w:shd w:val="clear" w:color="auto" w:fill="FFFFFF"/>
              <w:spacing w:line="276" w:lineRule="atLeast"/>
              <w:rPr>
                <w:rFonts w:eastAsia="Times New Roman"/>
                <w:color w:val="222222"/>
                <w:sz w:val="22"/>
                <w:szCs w:val="22"/>
              </w:rPr>
            </w:pPr>
            <w:r w:rsidRPr="005B0938">
              <w:rPr>
                <w:rFonts w:eastAsia="Times New Roman"/>
                <w:color w:val="222222"/>
                <w:sz w:val="22"/>
                <w:szCs w:val="22"/>
              </w:rPr>
              <w:t xml:space="preserve">1. Lagged: unleaded, crude, PDI, </w:t>
            </w:r>
            <w:proofErr w:type="spellStart"/>
            <w:r w:rsidRPr="005B0938">
              <w:rPr>
                <w:rFonts w:eastAsia="Times New Roman"/>
                <w:color w:val="222222"/>
                <w:sz w:val="22"/>
                <w:szCs w:val="22"/>
              </w:rPr>
              <w:t>Unemp</w:t>
            </w:r>
            <w:proofErr w:type="spellEnd"/>
            <w:r w:rsidRPr="005B0938">
              <w:rPr>
                <w:rFonts w:eastAsia="Times New Roman"/>
                <w:color w:val="222222"/>
                <w:sz w:val="22"/>
                <w:szCs w:val="22"/>
              </w:rPr>
              <w:t xml:space="preserve">, </w:t>
            </w:r>
            <w:proofErr w:type="spellStart"/>
            <w:r w:rsidRPr="005B0938">
              <w:rPr>
                <w:rFonts w:eastAsia="Times New Roman"/>
                <w:color w:val="222222"/>
                <w:sz w:val="22"/>
                <w:szCs w:val="22"/>
              </w:rPr>
              <w:t>RR_Sales</w:t>
            </w:r>
            <w:proofErr w:type="spellEnd"/>
            <w:r w:rsidRPr="005B0938">
              <w:rPr>
                <w:rFonts w:eastAsia="Times New Roman"/>
                <w:color w:val="222222"/>
                <w:sz w:val="22"/>
                <w:szCs w:val="22"/>
              </w:rPr>
              <w:t>, SP500, Demand as well as a recession dummy</w:t>
            </w:r>
          </w:p>
          <w:p w:rsidR="007A1302" w:rsidRPr="005B0938" w:rsidRDefault="007A1302" w:rsidP="007A1302">
            <w:pPr>
              <w:shd w:val="clear" w:color="auto" w:fill="FFFFFF"/>
              <w:spacing w:line="276" w:lineRule="atLeast"/>
              <w:rPr>
                <w:rFonts w:eastAsia="Times New Roman"/>
                <w:color w:val="222222"/>
                <w:sz w:val="22"/>
                <w:szCs w:val="22"/>
              </w:rPr>
            </w:pPr>
            <w:r w:rsidRPr="005B0938">
              <w:rPr>
                <w:rFonts w:eastAsia="Times New Roman"/>
                <w:color w:val="222222"/>
                <w:sz w:val="22"/>
                <w:szCs w:val="22"/>
              </w:rPr>
              <w:t>2.</w:t>
            </w:r>
            <w:r>
              <w:rPr>
                <w:rFonts w:eastAsia="Times New Roman"/>
                <w:color w:val="222222"/>
                <w:sz w:val="22"/>
                <w:szCs w:val="22"/>
              </w:rPr>
              <w:t> </w:t>
            </w:r>
            <w:r w:rsidRPr="005B0938">
              <w:rPr>
                <w:rFonts w:eastAsia="Times New Roman"/>
                <w:color w:val="222222"/>
                <w:sz w:val="22"/>
                <w:szCs w:val="22"/>
              </w:rPr>
              <w:t>The differenced model (see Table 9.7)</w:t>
            </w:r>
          </w:p>
          <w:p w:rsidR="007A1302" w:rsidRPr="005B0938" w:rsidRDefault="007A1302" w:rsidP="007A1302">
            <w:pPr>
              <w:shd w:val="clear" w:color="auto" w:fill="FFFFFF"/>
              <w:spacing w:after="200" w:line="276" w:lineRule="atLeast"/>
              <w:rPr>
                <w:rFonts w:eastAsia="Times New Roman"/>
                <w:color w:val="222222"/>
                <w:sz w:val="22"/>
                <w:szCs w:val="22"/>
              </w:rPr>
            </w:pPr>
            <w:r w:rsidRPr="005B0938">
              <w:rPr>
                <w:rFonts w:eastAsia="Times New Roman"/>
                <w:color w:val="222222"/>
                <w:sz w:val="22"/>
                <w:szCs w:val="22"/>
              </w:rPr>
              <w:t>3.</w:t>
            </w:r>
            <w:r>
              <w:rPr>
                <w:rFonts w:eastAsia="Times New Roman"/>
                <w:color w:val="222222"/>
                <w:sz w:val="22"/>
                <w:szCs w:val="22"/>
              </w:rPr>
              <w:t> </w:t>
            </w:r>
            <w:r w:rsidRPr="005B0938">
              <w:rPr>
                <w:rFonts w:eastAsia="Times New Roman"/>
                <w:color w:val="222222"/>
                <w:sz w:val="22"/>
                <w:szCs w:val="22"/>
              </w:rPr>
              <w:t>Optionally the log model in the above variables.</w:t>
            </w:r>
          </w:p>
        </w:tc>
      </w:tr>
      <w:tr w:rsidR="007A1302" w:rsidTr="00D7308C">
        <w:tc>
          <w:tcPr>
            <w:tcW w:w="805" w:type="dxa"/>
          </w:tcPr>
          <w:p w:rsidR="007A1302" w:rsidRPr="005B0938" w:rsidRDefault="007A1302" w:rsidP="007A1302">
            <w:pPr>
              <w:rPr>
                <w:sz w:val="22"/>
                <w:szCs w:val="22"/>
              </w:rPr>
            </w:pPr>
            <w:r>
              <w:rPr>
                <w:sz w:val="22"/>
                <w:szCs w:val="22"/>
              </w:rPr>
              <w:t>320</w:t>
            </w:r>
          </w:p>
        </w:tc>
        <w:tc>
          <w:tcPr>
            <w:tcW w:w="2250" w:type="dxa"/>
          </w:tcPr>
          <w:p w:rsidR="007A1302" w:rsidRPr="005B0938" w:rsidRDefault="007A1302" w:rsidP="007A1302">
            <w:pPr>
              <w:rPr>
                <w:sz w:val="22"/>
                <w:szCs w:val="22"/>
              </w:rPr>
            </w:pPr>
            <w:r>
              <w:rPr>
                <w:sz w:val="22"/>
                <w:szCs w:val="22"/>
              </w:rPr>
              <w:t>Exercise 9.14</w:t>
            </w:r>
          </w:p>
        </w:tc>
        <w:tc>
          <w:tcPr>
            <w:tcW w:w="6295" w:type="dxa"/>
          </w:tcPr>
          <w:p w:rsidR="007A1302" w:rsidRPr="005B0938" w:rsidRDefault="007A1302" w:rsidP="007A1302">
            <w:pPr>
              <w:shd w:val="clear" w:color="auto" w:fill="FFFFFF"/>
              <w:rPr>
                <w:rFonts w:eastAsia="Times New Roman"/>
                <w:color w:val="222222"/>
                <w:sz w:val="22"/>
                <w:szCs w:val="22"/>
              </w:rPr>
            </w:pPr>
            <w:r>
              <w:rPr>
                <w:rFonts w:eastAsia="Times New Roman"/>
                <w:color w:val="222222"/>
                <w:sz w:val="22"/>
                <w:szCs w:val="22"/>
              </w:rPr>
              <w:t xml:space="preserve">… increases </w:t>
            </w:r>
            <w:r w:rsidRPr="00394AA0">
              <w:rPr>
                <w:rFonts w:eastAsia="Times New Roman"/>
                <w:i/>
                <w:color w:val="222222"/>
                <w:sz w:val="22"/>
                <w:szCs w:val="22"/>
              </w:rPr>
              <w:t>Y</w:t>
            </w:r>
            <w:r>
              <w:rPr>
                <w:rFonts w:eastAsia="Times New Roman"/>
                <w:color w:val="222222"/>
                <w:sz w:val="22"/>
                <w:szCs w:val="22"/>
              </w:rPr>
              <w:t xml:space="preserve"> in period (t+2) by an amount </w:t>
            </w:r>
            <w:r w:rsidRPr="00822936">
              <w:rPr>
                <w:position w:val="-12"/>
              </w:rPr>
              <w:object w:dxaOrig="1359" w:dyaOrig="360">
                <v:shape id="_x0000_i1038" type="#_x0000_t75" style="width:68.25pt;height:18pt" o:ole="">
                  <v:imagedata r:id="rId6" o:title=""/>
                </v:shape>
                <o:OLEObject Type="Embed" ProgID="Equation.DSMT4" ShapeID="_x0000_i1038" DrawAspect="Content" ObjectID="_1572268697" r:id="rId7"/>
              </w:object>
            </w:r>
          </w:p>
        </w:tc>
      </w:tr>
      <w:tr w:rsidR="007A1302" w:rsidTr="00D7308C">
        <w:tc>
          <w:tcPr>
            <w:tcW w:w="805" w:type="dxa"/>
          </w:tcPr>
          <w:p w:rsidR="007A1302" w:rsidRDefault="007A1302" w:rsidP="007A1302">
            <w:pPr>
              <w:rPr>
                <w:sz w:val="22"/>
                <w:szCs w:val="22"/>
              </w:rPr>
            </w:pPr>
            <w:r>
              <w:rPr>
                <w:sz w:val="22"/>
                <w:szCs w:val="22"/>
              </w:rPr>
              <w:t>320</w:t>
            </w:r>
          </w:p>
        </w:tc>
        <w:tc>
          <w:tcPr>
            <w:tcW w:w="2250" w:type="dxa"/>
          </w:tcPr>
          <w:p w:rsidR="007A1302" w:rsidRDefault="007A1302" w:rsidP="007A1302">
            <w:pPr>
              <w:rPr>
                <w:sz w:val="22"/>
                <w:szCs w:val="22"/>
              </w:rPr>
            </w:pPr>
            <w:r>
              <w:rPr>
                <w:sz w:val="22"/>
                <w:szCs w:val="22"/>
              </w:rPr>
              <w:t>Exercise 9.17</w:t>
            </w:r>
          </w:p>
        </w:tc>
        <w:tc>
          <w:tcPr>
            <w:tcW w:w="6295" w:type="dxa"/>
          </w:tcPr>
          <w:p w:rsidR="007A1302" w:rsidRDefault="007A1302" w:rsidP="007A1302">
            <w:pPr>
              <w:shd w:val="clear" w:color="auto" w:fill="FFFFFF"/>
              <w:rPr>
                <w:rFonts w:eastAsia="Times New Roman"/>
                <w:color w:val="222222"/>
                <w:sz w:val="22"/>
                <w:szCs w:val="22"/>
              </w:rPr>
            </w:pPr>
            <w:r>
              <w:rPr>
                <w:rFonts w:eastAsia="Times New Roman"/>
                <w:color w:val="222222"/>
                <w:sz w:val="22"/>
                <w:szCs w:val="22"/>
              </w:rPr>
              <w:t>Should refer explicitly to the unleaded gas prices data</w:t>
            </w:r>
          </w:p>
        </w:tc>
      </w:tr>
      <w:tr w:rsidR="007A1302" w:rsidTr="00D7308C">
        <w:tc>
          <w:tcPr>
            <w:tcW w:w="805" w:type="dxa"/>
          </w:tcPr>
          <w:p w:rsidR="007A1302" w:rsidRDefault="007A1302" w:rsidP="007A1302">
            <w:pPr>
              <w:rPr>
                <w:sz w:val="22"/>
                <w:szCs w:val="22"/>
              </w:rPr>
            </w:pPr>
            <w:r>
              <w:rPr>
                <w:sz w:val="22"/>
                <w:szCs w:val="22"/>
              </w:rPr>
              <w:t>338</w:t>
            </w:r>
          </w:p>
        </w:tc>
        <w:tc>
          <w:tcPr>
            <w:tcW w:w="2250" w:type="dxa"/>
          </w:tcPr>
          <w:p w:rsidR="007A1302" w:rsidRDefault="00646E40" w:rsidP="007A1302">
            <w:pPr>
              <w:rPr>
                <w:sz w:val="22"/>
                <w:szCs w:val="22"/>
              </w:rPr>
            </w:pPr>
            <w:r>
              <w:rPr>
                <w:sz w:val="22"/>
                <w:szCs w:val="22"/>
              </w:rPr>
              <w:t>Above Example 10.1</w:t>
            </w:r>
          </w:p>
        </w:tc>
        <w:tc>
          <w:tcPr>
            <w:tcW w:w="6295" w:type="dxa"/>
          </w:tcPr>
          <w:p w:rsidR="007A1302" w:rsidRDefault="007A1302" w:rsidP="007A1302">
            <w:pPr>
              <w:shd w:val="clear" w:color="auto" w:fill="FFFFFF"/>
              <w:rPr>
                <w:rFonts w:eastAsia="Times New Roman"/>
                <w:color w:val="222222"/>
                <w:sz w:val="22"/>
                <w:szCs w:val="22"/>
              </w:rPr>
            </w:pPr>
            <w:r>
              <w:rPr>
                <w:rFonts w:eastAsia="Times New Roman"/>
                <w:color w:val="222222"/>
                <w:sz w:val="22"/>
                <w:szCs w:val="22"/>
              </w:rPr>
              <w:t xml:space="preserve">Bernoulli, not </w:t>
            </w:r>
            <w:proofErr w:type="spellStart"/>
            <w:r>
              <w:rPr>
                <w:rFonts w:eastAsia="Times New Roman"/>
                <w:color w:val="222222"/>
                <w:sz w:val="22"/>
                <w:szCs w:val="22"/>
              </w:rPr>
              <w:t>Bernouli</w:t>
            </w:r>
            <w:proofErr w:type="spellEnd"/>
          </w:p>
        </w:tc>
      </w:tr>
      <w:tr w:rsidR="003A4FD4" w:rsidTr="00D7308C">
        <w:tc>
          <w:tcPr>
            <w:tcW w:w="805" w:type="dxa"/>
          </w:tcPr>
          <w:p w:rsidR="003A4FD4" w:rsidRDefault="003A4FD4" w:rsidP="007A1302">
            <w:pPr>
              <w:rPr>
                <w:sz w:val="22"/>
                <w:szCs w:val="22"/>
              </w:rPr>
            </w:pPr>
            <w:r>
              <w:rPr>
                <w:sz w:val="22"/>
                <w:szCs w:val="22"/>
              </w:rPr>
              <w:t>365</w:t>
            </w:r>
          </w:p>
        </w:tc>
        <w:tc>
          <w:tcPr>
            <w:tcW w:w="2250" w:type="dxa"/>
          </w:tcPr>
          <w:p w:rsidR="003A4FD4" w:rsidRDefault="003A4FD4" w:rsidP="007A1302">
            <w:pPr>
              <w:rPr>
                <w:sz w:val="22"/>
                <w:szCs w:val="22"/>
              </w:rPr>
            </w:pPr>
            <w:r>
              <w:rPr>
                <w:sz w:val="22"/>
                <w:szCs w:val="22"/>
              </w:rPr>
              <w:t>Exercise 10.10</w:t>
            </w:r>
          </w:p>
        </w:tc>
        <w:tc>
          <w:tcPr>
            <w:tcW w:w="6295" w:type="dxa"/>
          </w:tcPr>
          <w:p w:rsidR="003A4FD4" w:rsidRDefault="003A4FD4" w:rsidP="007A1302">
            <w:pPr>
              <w:shd w:val="clear" w:color="auto" w:fill="FFFFFF"/>
              <w:rPr>
                <w:rFonts w:eastAsia="Times New Roman"/>
                <w:color w:val="222222"/>
                <w:sz w:val="22"/>
                <w:szCs w:val="22"/>
              </w:rPr>
            </w:pPr>
            <w:r>
              <w:rPr>
                <w:rFonts w:eastAsia="Times New Roman"/>
                <w:color w:val="222222"/>
                <w:sz w:val="22"/>
                <w:szCs w:val="22"/>
              </w:rPr>
              <w:t xml:space="preserve">Item </w:t>
            </w:r>
            <w:proofErr w:type="spellStart"/>
            <w:r>
              <w:rPr>
                <w:rFonts w:eastAsia="Times New Roman"/>
                <w:color w:val="222222"/>
                <w:sz w:val="22"/>
                <w:szCs w:val="22"/>
              </w:rPr>
              <w:t>a.iii</w:t>
            </w:r>
            <w:proofErr w:type="spellEnd"/>
            <w:r>
              <w:rPr>
                <w:rFonts w:eastAsia="Times New Roman"/>
                <w:color w:val="222222"/>
                <w:sz w:val="22"/>
                <w:szCs w:val="22"/>
              </w:rPr>
              <w:t xml:space="preserve"> should read “with the data set to December 31, 2016”</w:t>
            </w:r>
          </w:p>
        </w:tc>
      </w:tr>
      <w:tr w:rsidR="007A1302" w:rsidTr="00D7308C">
        <w:tc>
          <w:tcPr>
            <w:tcW w:w="805" w:type="dxa"/>
          </w:tcPr>
          <w:p w:rsidR="007A1302" w:rsidRDefault="007A1302" w:rsidP="007A1302">
            <w:pPr>
              <w:rPr>
                <w:sz w:val="22"/>
                <w:szCs w:val="22"/>
              </w:rPr>
            </w:pPr>
            <w:r>
              <w:rPr>
                <w:sz w:val="22"/>
                <w:szCs w:val="22"/>
              </w:rPr>
              <w:t>395</w:t>
            </w:r>
          </w:p>
        </w:tc>
        <w:tc>
          <w:tcPr>
            <w:tcW w:w="2250" w:type="dxa"/>
          </w:tcPr>
          <w:p w:rsidR="007A1302" w:rsidRDefault="007A1302" w:rsidP="007A1302">
            <w:pPr>
              <w:rPr>
                <w:sz w:val="22"/>
                <w:szCs w:val="22"/>
              </w:rPr>
            </w:pPr>
            <w:r>
              <w:rPr>
                <w:sz w:val="22"/>
                <w:szCs w:val="22"/>
              </w:rPr>
              <w:t>Table 11.3</w:t>
            </w:r>
          </w:p>
        </w:tc>
        <w:tc>
          <w:tcPr>
            <w:tcW w:w="6295" w:type="dxa"/>
          </w:tcPr>
          <w:p w:rsidR="007A1302" w:rsidRDefault="007A1302" w:rsidP="007A1302">
            <w:pPr>
              <w:shd w:val="clear" w:color="auto" w:fill="FFFFFF"/>
              <w:rPr>
                <w:rFonts w:eastAsia="Times New Roman"/>
                <w:color w:val="222222"/>
                <w:sz w:val="22"/>
                <w:szCs w:val="22"/>
              </w:rPr>
            </w:pPr>
            <w:r>
              <w:rPr>
                <w:rFonts w:eastAsia="Times New Roman"/>
                <w:color w:val="222222"/>
                <w:sz w:val="22"/>
                <w:szCs w:val="22"/>
              </w:rPr>
              <w:t>Entry for “Incumbency” for “Obama vs. Romney” should be “N” not “F”</w:t>
            </w:r>
          </w:p>
        </w:tc>
      </w:tr>
      <w:tr w:rsidR="007A1302" w:rsidTr="00D7308C">
        <w:tc>
          <w:tcPr>
            <w:tcW w:w="805" w:type="dxa"/>
          </w:tcPr>
          <w:p w:rsidR="007A1302" w:rsidRPr="005B0938" w:rsidRDefault="007A1302" w:rsidP="007A1302">
            <w:pPr>
              <w:rPr>
                <w:sz w:val="22"/>
                <w:szCs w:val="22"/>
              </w:rPr>
            </w:pPr>
            <w:r w:rsidRPr="005B0938">
              <w:rPr>
                <w:sz w:val="22"/>
                <w:szCs w:val="22"/>
              </w:rPr>
              <w:t>415</w:t>
            </w:r>
          </w:p>
        </w:tc>
        <w:tc>
          <w:tcPr>
            <w:tcW w:w="2250" w:type="dxa"/>
          </w:tcPr>
          <w:p w:rsidR="007A1302" w:rsidRPr="005B0938" w:rsidRDefault="007A1302" w:rsidP="007A1302">
            <w:pPr>
              <w:rPr>
                <w:sz w:val="22"/>
                <w:szCs w:val="22"/>
              </w:rPr>
            </w:pPr>
            <w:r w:rsidRPr="005B0938">
              <w:rPr>
                <w:sz w:val="22"/>
                <w:szCs w:val="22"/>
              </w:rPr>
              <w:t>Exercise 11.9</w:t>
            </w:r>
          </w:p>
        </w:tc>
        <w:tc>
          <w:tcPr>
            <w:tcW w:w="6295" w:type="dxa"/>
          </w:tcPr>
          <w:p w:rsidR="007A1302" w:rsidRPr="005B0938" w:rsidRDefault="007A1302" w:rsidP="007A1302">
            <w:pPr>
              <w:rPr>
                <w:sz w:val="22"/>
                <w:szCs w:val="22"/>
              </w:rPr>
            </w:pPr>
            <w:r w:rsidRPr="005B0938">
              <w:rPr>
                <w:sz w:val="22"/>
                <w:szCs w:val="22"/>
              </w:rPr>
              <w:t>Last but one interval has range 251-275, not 241-275.</w:t>
            </w:r>
          </w:p>
        </w:tc>
      </w:tr>
      <w:tr w:rsidR="007A1302" w:rsidTr="00D7308C">
        <w:tc>
          <w:tcPr>
            <w:tcW w:w="805" w:type="dxa"/>
          </w:tcPr>
          <w:p w:rsidR="007A1302" w:rsidRPr="005B0938" w:rsidRDefault="007A1302" w:rsidP="007A1302">
            <w:pPr>
              <w:rPr>
                <w:sz w:val="22"/>
                <w:szCs w:val="22"/>
              </w:rPr>
            </w:pPr>
            <w:r w:rsidRPr="005B0938">
              <w:rPr>
                <w:sz w:val="22"/>
                <w:szCs w:val="22"/>
              </w:rPr>
              <w:t>468</w:t>
            </w:r>
          </w:p>
        </w:tc>
        <w:tc>
          <w:tcPr>
            <w:tcW w:w="2250" w:type="dxa"/>
          </w:tcPr>
          <w:p w:rsidR="007A1302" w:rsidRPr="005B0938" w:rsidRDefault="007A1302" w:rsidP="007A1302">
            <w:pPr>
              <w:rPr>
                <w:sz w:val="22"/>
                <w:szCs w:val="22"/>
              </w:rPr>
            </w:pPr>
            <w:r w:rsidRPr="005B0938">
              <w:rPr>
                <w:sz w:val="22"/>
                <w:szCs w:val="22"/>
              </w:rPr>
              <w:t>Expression for market share</w:t>
            </w:r>
          </w:p>
        </w:tc>
        <w:tc>
          <w:tcPr>
            <w:tcW w:w="6295" w:type="dxa"/>
          </w:tcPr>
          <w:p w:rsidR="007A1302" w:rsidRPr="005B0938" w:rsidRDefault="007A1302" w:rsidP="007A1302">
            <w:pPr>
              <w:rPr>
                <w:sz w:val="22"/>
                <w:szCs w:val="22"/>
              </w:rPr>
            </w:pPr>
            <w:r w:rsidRPr="005B0938">
              <w:rPr>
                <w:sz w:val="22"/>
                <w:szCs w:val="22"/>
              </w:rPr>
              <w:t xml:space="preserve">Right hand formula should read </w:t>
            </w:r>
            <w:r w:rsidRPr="005B0938">
              <w:rPr>
                <w:position w:val="-62"/>
                <w:sz w:val="22"/>
                <w:szCs w:val="22"/>
              </w:rPr>
              <w:object w:dxaOrig="1680" w:dyaOrig="1040">
                <v:shape id="_x0000_i1039" type="#_x0000_t75" style="width:84pt;height:51.75pt" o:ole="">
                  <v:imagedata r:id="rId8" o:title=""/>
                </v:shape>
                <o:OLEObject Type="Embed" ProgID="Equation.DSMT4" ShapeID="_x0000_i1039" DrawAspect="Content" ObjectID="_1572268698" r:id="rId9"/>
              </w:object>
            </w:r>
          </w:p>
        </w:tc>
      </w:tr>
      <w:tr w:rsidR="00756565" w:rsidTr="00D7308C">
        <w:tc>
          <w:tcPr>
            <w:tcW w:w="805" w:type="dxa"/>
          </w:tcPr>
          <w:p w:rsidR="00756565" w:rsidRDefault="00756565" w:rsidP="00756565">
            <w:r>
              <w:t>490</w:t>
            </w:r>
          </w:p>
        </w:tc>
        <w:tc>
          <w:tcPr>
            <w:tcW w:w="2250" w:type="dxa"/>
          </w:tcPr>
          <w:p w:rsidR="00756565" w:rsidRDefault="00756565" w:rsidP="00756565">
            <w:r>
              <w:t>Exercises 12.6, 12.7</w:t>
            </w:r>
          </w:p>
        </w:tc>
        <w:tc>
          <w:tcPr>
            <w:tcW w:w="6295" w:type="dxa"/>
          </w:tcPr>
          <w:p w:rsidR="00756565" w:rsidRDefault="00756565" w:rsidP="00756565">
            <w:r>
              <w:t>The supplier is alternatively termed the ‘manufacturer’.</w:t>
            </w:r>
          </w:p>
        </w:tc>
      </w:tr>
      <w:tr w:rsidR="00756565" w:rsidTr="00D7308C">
        <w:tc>
          <w:tcPr>
            <w:tcW w:w="805" w:type="dxa"/>
          </w:tcPr>
          <w:p w:rsidR="00756565" w:rsidRDefault="00756565" w:rsidP="00756565">
            <w:r>
              <w:t>493</w:t>
            </w:r>
          </w:p>
        </w:tc>
        <w:tc>
          <w:tcPr>
            <w:tcW w:w="2250" w:type="dxa"/>
          </w:tcPr>
          <w:p w:rsidR="00756565" w:rsidRDefault="00756565" w:rsidP="00756565">
            <w:r>
              <w:t>Footnote</w:t>
            </w:r>
          </w:p>
        </w:tc>
        <w:tc>
          <w:tcPr>
            <w:tcW w:w="6295" w:type="dxa"/>
          </w:tcPr>
          <w:p w:rsidR="00756565" w:rsidRDefault="00756565" w:rsidP="00756565">
            <w:proofErr w:type="spellStart"/>
            <w:r w:rsidRPr="005D6709">
              <w:rPr>
                <w:rFonts w:eastAsia="Times New Roman"/>
                <w:color w:val="222222"/>
                <w:sz w:val="22"/>
                <w:szCs w:val="22"/>
              </w:rPr>
              <w:t>L'Ecuyer</w:t>
            </w:r>
            <w:proofErr w:type="spellEnd"/>
            <w:r w:rsidRPr="005D6709">
              <w:rPr>
                <w:rFonts w:eastAsia="Times New Roman"/>
                <w:color w:val="222222"/>
                <w:sz w:val="22"/>
                <w:szCs w:val="22"/>
              </w:rPr>
              <w:t xml:space="preserve">, not </w:t>
            </w:r>
            <w:proofErr w:type="spellStart"/>
            <w:r w:rsidRPr="005D6709">
              <w:rPr>
                <w:rFonts w:eastAsia="Times New Roman"/>
                <w:color w:val="222222"/>
                <w:sz w:val="22"/>
                <w:szCs w:val="22"/>
              </w:rPr>
              <w:t>L'Ecuver</w:t>
            </w:r>
            <w:proofErr w:type="spellEnd"/>
          </w:p>
        </w:tc>
      </w:tr>
      <w:tr w:rsidR="003A4FD4" w:rsidTr="00D7308C">
        <w:tc>
          <w:tcPr>
            <w:tcW w:w="805" w:type="dxa"/>
          </w:tcPr>
          <w:p w:rsidR="003A4FD4" w:rsidRDefault="003A4FD4" w:rsidP="003A4FD4">
            <w:r>
              <w:t>Appendix B</w:t>
            </w:r>
          </w:p>
        </w:tc>
        <w:tc>
          <w:tcPr>
            <w:tcW w:w="2250" w:type="dxa"/>
          </w:tcPr>
          <w:p w:rsidR="003A4FD4" w:rsidRDefault="003A4FD4" w:rsidP="003A4FD4">
            <w:r>
              <w:t xml:space="preserve">Summary table  </w:t>
            </w:r>
          </w:p>
        </w:tc>
        <w:tc>
          <w:tcPr>
            <w:tcW w:w="6295" w:type="dxa"/>
          </w:tcPr>
          <w:p w:rsidR="003A4FD4" w:rsidRDefault="003A4FD4" w:rsidP="003A4FD4">
            <w:r>
              <w:t xml:space="preserve">This table was designed to illustrate what is available and the programs cited were given only as example. Nevertheless, it is important to note that some programs go beyond the conservative list of features we provided. For example, </w:t>
            </w:r>
            <w:proofErr w:type="spellStart"/>
            <w:r>
              <w:t>Autobox</w:t>
            </w:r>
            <w:proofErr w:type="spellEnd"/>
            <w:r>
              <w:t xml:space="preserve"> has an intermittent demand capability </w:t>
            </w:r>
            <w:r>
              <w:lastRenderedPageBreak/>
              <w:t xml:space="preserve">and includes checks for misspecification; </w:t>
            </w:r>
            <w:proofErr w:type="spellStart"/>
            <w:r>
              <w:t>Autobox</w:t>
            </w:r>
            <w:proofErr w:type="spellEnd"/>
            <w:r>
              <w:t xml:space="preserve"> also has an R version.</w:t>
            </w:r>
          </w:p>
          <w:p w:rsidR="003A4FD4" w:rsidRDefault="003A4FD4" w:rsidP="003A4FD4">
            <w:r>
              <w:t xml:space="preserve">Such specialist programs are constantly being updated and improved and it is not our intent to try to record all the changes. As always, potential users of a </w:t>
            </w:r>
            <w:proofErr w:type="gramStart"/>
            <w:r>
              <w:t>particular program</w:t>
            </w:r>
            <w:proofErr w:type="gramEnd"/>
            <w:r>
              <w:t xml:space="preserve"> should check whether it possesses the desired features for the application to hand.</w:t>
            </w:r>
          </w:p>
        </w:tc>
      </w:tr>
    </w:tbl>
    <w:p w:rsidR="00D7308C" w:rsidRDefault="00D7308C"/>
    <w:p w:rsidR="00931DBE" w:rsidRDefault="00931DBE"/>
    <w:sectPr w:rsidR="00931DBE" w:rsidSect="005D6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08C"/>
    <w:rsid w:val="002B5266"/>
    <w:rsid w:val="00394AA0"/>
    <w:rsid w:val="003A4FD4"/>
    <w:rsid w:val="00597C4C"/>
    <w:rsid w:val="005B0938"/>
    <w:rsid w:val="005D6709"/>
    <w:rsid w:val="005D6ED4"/>
    <w:rsid w:val="00617A01"/>
    <w:rsid w:val="00626FAA"/>
    <w:rsid w:val="00646E40"/>
    <w:rsid w:val="00756565"/>
    <w:rsid w:val="007A1302"/>
    <w:rsid w:val="007B1300"/>
    <w:rsid w:val="00826460"/>
    <w:rsid w:val="0091401E"/>
    <w:rsid w:val="00931DBE"/>
    <w:rsid w:val="00A1104C"/>
    <w:rsid w:val="00AE6B69"/>
    <w:rsid w:val="00C3391D"/>
    <w:rsid w:val="00D7308C"/>
    <w:rsid w:val="00D765CC"/>
    <w:rsid w:val="00E240C3"/>
    <w:rsid w:val="00F70941"/>
    <w:rsid w:val="00FE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50A1"/>
  <w15:chartTrackingRefBased/>
  <w15:docId w15:val="{3AD4F006-E83F-490E-AF73-457A8A5C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1401E"/>
    <w:pPr>
      <w:keepNext/>
      <w:widowControl w:val="0"/>
      <w:autoSpaceDE w:val="0"/>
      <w:autoSpaceDN w:val="0"/>
      <w:adjustRightInd w:val="0"/>
      <w:spacing w:before="240" w:after="60" w:line="240" w:lineRule="auto"/>
      <w:outlineLvl w:val="1"/>
    </w:pPr>
    <w:rPr>
      <w:bCs/>
      <w:iCs/>
      <w:sz w:val="26"/>
      <w:szCs w:val="28"/>
    </w:rPr>
  </w:style>
  <w:style w:type="paragraph" w:styleId="Heading3">
    <w:name w:val="heading 3"/>
    <w:basedOn w:val="Normal"/>
    <w:next w:val="Normal"/>
    <w:link w:val="Heading3Char"/>
    <w:uiPriority w:val="9"/>
    <w:unhideWhenUsed/>
    <w:qFormat/>
    <w:rsid w:val="0091401E"/>
    <w:pPr>
      <w:keepNext/>
      <w:widowControl w:val="0"/>
      <w:autoSpaceDE w:val="0"/>
      <w:autoSpaceDN w:val="0"/>
      <w:adjustRightInd w:val="0"/>
      <w:spacing w:before="240" w:after="60" w:line="240" w:lineRule="auto"/>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1401E"/>
    <w:rPr>
      <w:bCs/>
      <w:sz w:val="24"/>
    </w:rPr>
  </w:style>
  <w:style w:type="character" w:customStyle="1" w:styleId="Heading2Char">
    <w:name w:val="Heading 2 Char"/>
    <w:link w:val="Heading2"/>
    <w:uiPriority w:val="9"/>
    <w:rsid w:val="0091401E"/>
    <w:rPr>
      <w:bCs/>
      <w:iCs/>
      <w:sz w:val="26"/>
      <w:szCs w:val="28"/>
    </w:rPr>
  </w:style>
  <w:style w:type="table" w:styleId="TableGrid">
    <w:name w:val="Table Grid"/>
    <w:basedOn w:val="TableNormal"/>
    <w:uiPriority w:val="39"/>
    <w:rsid w:val="00D73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824391643138702694msolistparagraph">
    <w:name w:val="m_-8824391643138702694msolistparagraph"/>
    <w:basedOn w:val="Normal"/>
    <w:rsid w:val="005B0938"/>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FE2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B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390815">
      <w:bodyDiv w:val="1"/>
      <w:marLeft w:val="0"/>
      <w:marRight w:val="0"/>
      <w:marTop w:val="0"/>
      <w:marBottom w:val="0"/>
      <w:divBdr>
        <w:top w:val="none" w:sz="0" w:space="0" w:color="auto"/>
        <w:left w:val="none" w:sz="0" w:space="0" w:color="auto"/>
        <w:bottom w:val="none" w:sz="0" w:space="0" w:color="auto"/>
        <w:right w:val="none" w:sz="0" w:space="0" w:color="auto"/>
      </w:divBdr>
    </w:div>
    <w:div w:id="69542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Ord</dc:creator>
  <cp:keywords/>
  <dc:description/>
  <cp:lastModifiedBy>John Ord</cp:lastModifiedBy>
  <cp:revision>5</cp:revision>
  <cp:lastPrinted>2017-10-11T19:13:00Z</cp:lastPrinted>
  <dcterms:created xsi:type="dcterms:W3CDTF">2017-10-11T19:11:00Z</dcterms:created>
  <dcterms:modified xsi:type="dcterms:W3CDTF">2017-11-15T21:32:00Z</dcterms:modified>
</cp:coreProperties>
</file>