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8E" w:rsidRDefault="00433087" w:rsidP="00084897">
      <w:pPr>
        <w:pStyle w:val="Heading1"/>
        <w:jc w:val="center"/>
      </w:pPr>
      <w:bookmarkStart w:id="0" w:name="_Hlk490500714"/>
      <w:bookmarkEnd w:id="0"/>
      <w:r>
        <w:t>Chapter 3</w:t>
      </w:r>
      <w:r w:rsidR="0094418E">
        <w:t>: Outline Solutions</w:t>
      </w:r>
    </w:p>
    <w:p w:rsidR="00B90180" w:rsidRPr="004E7B44" w:rsidRDefault="00D945E2" w:rsidP="00B90180">
      <w:pPr>
        <w:spacing w:line="240" w:lineRule="auto"/>
        <w:rPr>
          <w:color w:val="FF0000"/>
        </w:rPr>
      </w:pPr>
      <w:r w:rsidRPr="004E7B44">
        <w:rPr>
          <w:color w:val="FF0000"/>
        </w:rPr>
        <w:t>T</w:t>
      </w:r>
      <w:r>
        <w:rPr>
          <w:color w:val="FF0000"/>
        </w:rPr>
        <w:t>he macro file ES Macro_Chapter 3</w:t>
      </w:r>
      <w:r w:rsidRPr="004E7B44">
        <w:rPr>
          <w:color w:val="FF0000"/>
        </w:rPr>
        <w:t xml:space="preserve"> contains all the data sets</w:t>
      </w:r>
      <w:r>
        <w:rPr>
          <w:color w:val="FF0000"/>
        </w:rPr>
        <w:t xml:space="preserve"> used in Exercises for Chapter 3. </w:t>
      </w:r>
      <w:r w:rsidR="00C54673">
        <w:rPr>
          <w:color w:val="FF0000"/>
        </w:rPr>
        <w:t xml:space="preserve">The macro is being updated so the layout may change but the results should not. </w:t>
      </w:r>
      <w:r>
        <w:rPr>
          <w:color w:val="FF0000"/>
        </w:rPr>
        <w:t>Users are encouraged to run the macro to gain insight into methods’ performance.</w:t>
      </w:r>
      <w:r w:rsidR="00B90180">
        <w:rPr>
          <w:color w:val="FF0000"/>
        </w:rPr>
        <w:t xml:space="preserve"> ONLY out-of-sample results are recorded here, in most cases.</w:t>
      </w:r>
    </w:p>
    <w:p w:rsidR="00D945E2" w:rsidRPr="00D945E2" w:rsidRDefault="00D945E2" w:rsidP="00D945E2"/>
    <w:p w:rsidR="0094418E" w:rsidRDefault="00433087" w:rsidP="00CF17AC">
      <w:pPr>
        <w:pStyle w:val="Heading3"/>
      </w:pPr>
      <w:r>
        <w:t>3</w:t>
      </w:r>
      <w:r w:rsidR="0094418E">
        <w:t xml:space="preserve">.1 </w:t>
      </w:r>
      <w:r w:rsidR="00084897">
        <w:t xml:space="preserve"> </w:t>
      </w:r>
      <w:r w:rsidR="00084897" w:rsidRPr="00084897">
        <w:t>Excel solution in Chapter_3_solutions.xlsx</w:t>
      </w:r>
    </w:p>
    <w:p w:rsidR="0094418E" w:rsidRPr="00CF17AC" w:rsidRDefault="0094418E" w:rsidP="0094418E">
      <w:pPr>
        <w:rPr>
          <w:sz w:val="22"/>
        </w:rPr>
      </w:pPr>
      <w:r>
        <w:t>(</w:t>
      </w:r>
      <w:r w:rsidRPr="00CF17AC">
        <w:rPr>
          <w:sz w:val="22"/>
        </w:rPr>
        <w:t xml:space="preserve">a) The spreadsheet for the calculations is shown below.  The error measures are calculated over the </w:t>
      </w:r>
      <w:r w:rsidR="0054197D" w:rsidRPr="00CF17AC">
        <w:rPr>
          <w:sz w:val="22"/>
        </w:rPr>
        <w:t xml:space="preserve">period </w:t>
      </w:r>
      <w:r w:rsidR="00964A3D" w:rsidRPr="00CF17AC">
        <w:rPr>
          <w:sz w:val="22"/>
        </w:rPr>
        <w:t>2001-2015</w:t>
      </w:r>
      <w:r w:rsidR="0054197D" w:rsidRPr="00CF17AC">
        <w:rPr>
          <w:sz w:val="22"/>
        </w:rPr>
        <w:t>, but any other reasonable period could be used.</w:t>
      </w:r>
    </w:p>
    <w:tbl>
      <w:tblPr>
        <w:tblW w:w="9580" w:type="dxa"/>
        <w:tblInd w:w="108" w:type="dxa"/>
        <w:tblLook w:val="04A0" w:firstRow="1" w:lastRow="0" w:firstColumn="1" w:lastColumn="0" w:noHBand="0" w:noVBand="1"/>
      </w:tblPr>
      <w:tblGrid>
        <w:gridCol w:w="960"/>
        <w:gridCol w:w="1100"/>
        <w:gridCol w:w="820"/>
        <w:gridCol w:w="880"/>
        <w:gridCol w:w="1480"/>
        <w:gridCol w:w="1440"/>
        <w:gridCol w:w="1480"/>
        <w:gridCol w:w="1420"/>
      </w:tblGrid>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Year</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3-term</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7-term</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Actual</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Abs_error_3</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Abs_error_7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Sq_error_3</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Eq_error_7</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2001</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6.13</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5.94</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2.83</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2.64</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8.03</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6.98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2002</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5.37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5.51</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2.21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4.27</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4.90</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2003</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4.37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5.29</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0.53</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0.39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0.28</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0.15</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2004</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3.83</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5.17</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6.6</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2.77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7.65</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2.04</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2005</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4.93</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5.21</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1.77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3.12</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2.21</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2006</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6.07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5.37</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5.8</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0.07</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2007</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6.37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5.30</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4.5</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1.87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0.80</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3.48</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0.64</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2008</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5.67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5.01</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3.97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3.31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15.73</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10.98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2009</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4.00</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4.79</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6.00</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6.79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36.00</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46.05</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2010</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1.40</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4.03</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3.8</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2.40</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5.76</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0.05</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2011</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1.17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3.87</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2.53</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6.42</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0.03</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2012</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1.83</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3.46</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2.27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0.64</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5.14</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0.41</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2013</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3.87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3.09</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0.57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0.32</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0.05</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2014</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3.70</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2.73</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4.2</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0.50</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0.25</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2.17</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2015</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3.87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2.69</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1.01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0.03</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1.03</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Mean</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2.03</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1.55</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6.44</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5.19</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RMSE</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2.54</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2.28</w:t>
            </w:r>
          </w:p>
        </w:tc>
      </w:tr>
      <w:tr w:rsidR="00CF17AC" w:rsidRPr="00084897" w:rsidTr="00084897">
        <w:trPr>
          <w:trHeight w:val="255"/>
        </w:trPr>
        <w:tc>
          <w:tcPr>
            <w:tcW w:w="960" w:type="dxa"/>
            <w:tcBorders>
              <w:top w:val="nil"/>
              <w:left w:val="nil"/>
              <w:bottom w:val="nil"/>
              <w:right w:val="nil"/>
            </w:tcBorders>
            <w:shd w:val="clear" w:color="auto" w:fill="auto"/>
            <w:noWrap/>
            <w:vAlign w:val="bottom"/>
          </w:tcPr>
          <w:p w:rsidR="00CF17AC" w:rsidRPr="00084897" w:rsidRDefault="00CF17AC" w:rsidP="00084897">
            <w:pPr>
              <w:spacing w:line="240" w:lineRule="auto"/>
              <w:jc w:val="right"/>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82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88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148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144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tcPr>
          <w:p w:rsidR="00CF17AC" w:rsidRPr="00084897" w:rsidRDefault="00CF17AC" w:rsidP="00084897">
            <w:pPr>
              <w:spacing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tcPr>
          <w:p w:rsidR="00CF17AC" w:rsidRPr="00084897" w:rsidRDefault="00CF17AC" w:rsidP="00084897">
            <w:pPr>
              <w:spacing w:line="240" w:lineRule="auto"/>
              <w:jc w:val="right"/>
              <w:rPr>
                <w:rFonts w:ascii="Arial" w:eastAsia="Times New Roman" w:hAnsi="Arial" w:cs="Arial"/>
                <w:sz w:val="20"/>
                <w:szCs w:val="20"/>
              </w:rPr>
            </w:pPr>
          </w:p>
        </w:tc>
      </w:tr>
    </w:tbl>
    <w:p w:rsidR="00084897" w:rsidRDefault="00084897" w:rsidP="0094418E">
      <w:r>
        <w:rPr>
          <w:noProof/>
          <w:lang w:val="en-GB" w:eastAsia="en-GB"/>
        </w:rPr>
        <w:drawing>
          <wp:inline distT="0" distB="0" distL="0" distR="0" wp14:anchorId="169864DB" wp14:editId="1765A4BB">
            <wp:extent cx="4391025" cy="2381250"/>
            <wp:effectExtent l="0" t="0" r="9525" b="0"/>
            <wp:docPr id="3" name="Chart 3">
              <a:extLst xmlns:a="http://schemas.openxmlformats.org/drawingml/2006/main">
                <a:ext uri="{FF2B5EF4-FFF2-40B4-BE49-F238E27FC236}">
                  <a16:creationId xmlns:a16="http://schemas.microsoft.com/office/drawing/2014/main" id="{EE9AFAB1-F5A9-4C91-BE83-3CAD5B4D6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84897" w:rsidRDefault="00084897" w:rsidP="0094418E"/>
    <w:p w:rsidR="00E31B9A" w:rsidRPr="00E31B9A" w:rsidRDefault="00E31B9A" w:rsidP="0094418E">
      <w:pPr>
        <w:rPr>
          <w:lang w:eastAsia="zh-CN"/>
        </w:rPr>
      </w:pPr>
    </w:p>
    <w:p w:rsidR="0094418E" w:rsidRDefault="0054197D" w:rsidP="0094418E">
      <w:r>
        <w:t xml:space="preserve"> </w:t>
      </w:r>
      <w:r w:rsidR="0094418E">
        <w:t xml:space="preserve">(b) The MA7 forecasts show </w:t>
      </w:r>
      <w:r>
        <w:t>somewhat</w:t>
      </w:r>
      <w:r w:rsidR="0094418E">
        <w:t xml:space="preserve"> lower values for the MAE and for the MSE.  The MAPE is not appropriate because the observations may be negative.</w:t>
      </w:r>
    </w:p>
    <w:p w:rsidR="0094418E" w:rsidRDefault="0094418E" w:rsidP="0094418E"/>
    <w:p w:rsidR="0094418E" w:rsidRDefault="00433087" w:rsidP="00CF17AC">
      <w:pPr>
        <w:pStyle w:val="Heading3"/>
      </w:pPr>
      <w:r>
        <w:t>3</w:t>
      </w:r>
      <w:r w:rsidR="0094418E">
        <w:t>.2</w:t>
      </w:r>
      <w:r w:rsidR="00084897">
        <w:t xml:space="preserve"> </w:t>
      </w:r>
      <w:r w:rsidR="00084897" w:rsidRPr="00084897">
        <w:t>Excel solution in Chapter_3_solutions.xlsx</w:t>
      </w:r>
    </w:p>
    <w:p w:rsidR="0094418E" w:rsidRPr="00CF17AC" w:rsidRDefault="0094418E" w:rsidP="0094418E">
      <w:pPr>
        <w:rPr>
          <w:sz w:val="22"/>
        </w:rPr>
      </w:pPr>
      <w:r w:rsidRPr="00CF17AC">
        <w:rPr>
          <w:sz w:val="22"/>
        </w:rPr>
        <w:t xml:space="preserve">(a) The spreadsheet for the calculations is shown below.  The error measures are calculated over the </w:t>
      </w:r>
      <w:r w:rsidR="00C4574E" w:rsidRPr="00CF17AC">
        <w:rPr>
          <w:sz w:val="22"/>
        </w:rPr>
        <w:t xml:space="preserve">period </w:t>
      </w:r>
      <w:r w:rsidR="00084897" w:rsidRPr="00CF17AC">
        <w:rPr>
          <w:sz w:val="22"/>
        </w:rPr>
        <w:t>2001-2015, but any other reasonable period could be used.</w:t>
      </w:r>
      <w:r w:rsidR="00C4574E" w:rsidRPr="00CF17AC">
        <w:rPr>
          <w:sz w:val="22"/>
        </w:rPr>
        <w:t>1998 - 2007</w:t>
      </w:r>
      <w:r w:rsidRPr="00CF17AC">
        <w:rPr>
          <w:sz w:val="22"/>
        </w:rPr>
        <w:t>.</w:t>
      </w:r>
    </w:p>
    <w:p w:rsidR="00E31B9A" w:rsidRDefault="00E31B9A" w:rsidP="0094418E">
      <w:pPr>
        <w:rPr>
          <w:lang w:eastAsia="zh-CN"/>
        </w:rPr>
      </w:pPr>
    </w:p>
    <w:tbl>
      <w:tblPr>
        <w:tblW w:w="9580" w:type="dxa"/>
        <w:tblInd w:w="108" w:type="dxa"/>
        <w:tblLook w:val="04A0" w:firstRow="1" w:lastRow="0" w:firstColumn="1" w:lastColumn="0" w:noHBand="0" w:noVBand="1"/>
      </w:tblPr>
      <w:tblGrid>
        <w:gridCol w:w="960"/>
        <w:gridCol w:w="1100"/>
        <w:gridCol w:w="820"/>
        <w:gridCol w:w="880"/>
        <w:gridCol w:w="1480"/>
        <w:gridCol w:w="1440"/>
        <w:gridCol w:w="1480"/>
        <w:gridCol w:w="1420"/>
      </w:tblGrid>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Year</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3-term</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7-term</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Actual</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Abs_error_3</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Abs_error_7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Sq_error_3</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Eq_error_7</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2001</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2.37</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2.54</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2.8</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0.45</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0.28</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0.21</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2002</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2.80</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2.57</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1.6</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1.21</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0.99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1.47</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0.98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2003</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2.60</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2.40</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0.33</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0.13</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0.11</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0.02</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2004</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2.23</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2.31</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0.45</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0.37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0.20</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0.14</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2005</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2.18</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2.35</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3.4</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1.21</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1.04</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1.48</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1.08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2006</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2.78</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2.62</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3.2</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0.45</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0.61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0.20</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0.37</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2007</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3.10</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2.77</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0.25</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0.06</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0.01</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2008</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3.16</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2.69</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3.8</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0.68</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1.15</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0.47</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1.32</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2009</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3.31</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2.83</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3.66</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3.19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13.41</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10.18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2010</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2.11</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2.56</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1.6</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0.47</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0.92</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0.22</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0.84</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2011</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1.71</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2.47</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3.2</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1.45</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0.69</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2.10</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2012</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1.48</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2.54</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0.59</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0.35</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0.22</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2013</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2.29</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2.35</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1.5</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0.82</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0.88</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0.68</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0.78</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2014</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2.23</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2.10</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1.6</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0.61</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0.47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0.37</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0.22</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2015</w:t>
            </w: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1.72</w:t>
            </w: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1.92</w:t>
            </w: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0.1</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1.60</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1.80</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2.56</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3.24</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Mean</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0.95</w:t>
            </w: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0.87</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1.59</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1.33</w:t>
            </w:r>
          </w:p>
        </w:tc>
      </w:tr>
      <w:tr w:rsidR="00084897" w:rsidRPr="00084897" w:rsidTr="00084897">
        <w:trPr>
          <w:trHeight w:val="255"/>
        </w:trPr>
        <w:tc>
          <w:tcPr>
            <w:tcW w:w="96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8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eastAsia="Times New Roman"/>
                <w:sz w:val="20"/>
                <w:szCs w:val="20"/>
              </w:rPr>
            </w:pPr>
          </w:p>
        </w:tc>
        <w:tc>
          <w:tcPr>
            <w:tcW w:w="144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rPr>
                <w:rFonts w:ascii="Arial" w:eastAsia="Times New Roman" w:hAnsi="Arial" w:cs="Arial"/>
                <w:sz w:val="20"/>
                <w:szCs w:val="20"/>
              </w:rPr>
            </w:pPr>
            <w:r w:rsidRPr="00084897">
              <w:rPr>
                <w:rFonts w:ascii="Arial" w:eastAsia="Times New Roman" w:hAnsi="Arial" w:cs="Arial"/>
                <w:sz w:val="20"/>
                <w:szCs w:val="20"/>
              </w:rPr>
              <w:t>RMSE</w:t>
            </w:r>
          </w:p>
        </w:tc>
        <w:tc>
          <w:tcPr>
            <w:tcW w:w="148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1.26</w:t>
            </w:r>
          </w:p>
        </w:tc>
        <w:tc>
          <w:tcPr>
            <w:tcW w:w="1420" w:type="dxa"/>
            <w:tcBorders>
              <w:top w:val="nil"/>
              <w:left w:val="nil"/>
              <w:bottom w:val="nil"/>
              <w:right w:val="nil"/>
            </w:tcBorders>
            <w:shd w:val="clear" w:color="auto" w:fill="auto"/>
            <w:noWrap/>
            <w:vAlign w:val="bottom"/>
            <w:hideMark/>
          </w:tcPr>
          <w:p w:rsidR="00084897" w:rsidRPr="00084897" w:rsidRDefault="00084897" w:rsidP="00084897">
            <w:pPr>
              <w:spacing w:line="240" w:lineRule="auto"/>
              <w:jc w:val="right"/>
              <w:rPr>
                <w:rFonts w:ascii="Arial" w:eastAsia="Times New Roman" w:hAnsi="Arial" w:cs="Arial"/>
                <w:sz w:val="20"/>
                <w:szCs w:val="20"/>
              </w:rPr>
            </w:pPr>
            <w:r w:rsidRPr="00084897">
              <w:rPr>
                <w:rFonts w:ascii="Arial" w:eastAsia="Times New Roman" w:hAnsi="Arial" w:cs="Arial"/>
                <w:sz w:val="20"/>
                <w:szCs w:val="20"/>
              </w:rPr>
              <w:t>1.15</w:t>
            </w:r>
          </w:p>
        </w:tc>
      </w:tr>
      <w:tr w:rsidR="00CF17AC" w:rsidRPr="00084897" w:rsidTr="00084897">
        <w:trPr>
          <w:trHeight w:val="255"/>
        </w:trPr>
        <w:tc>
          <w:tcPr>
            <w:tcW w:w="960" w:type="dxa"/>
            <w:tcBorders>
              <w:top w:val="nil"/>
              <w:left w:val="nil"/>
              <w:bottom w:val="nil"/>
              <w:right w:val="nil"/>
            </w:tcBorders>
            <w:shd w:val="clear" w:color="auto" w:fill="auto"/>
            <w:noWrap/>
            <w:vAlign w:val="bottom"/>
          </w:tcPr>
          <w:p w:rsidR="00CF17AC" w:rsidRPr="00084897" w:rsidRDefault="00CF17AC" w:rsidP="00084897">
            <w:pPr>
              <w:spacing w:line="240" w:lineRule="auto"/>
              <w:jc w:val="right"/>
              <w:rPr>
                <w:rFonts w:ascii="Arial" w:eastAsia="Times New Roman" w:hAnsi="Arial" w:cs="Arial"/>
                <w:sz w:val="20"/>
                <w:szCs w:val="20"/>
              </w:rPr>
            </w:pPr>
          </w:p>
        </w:tc>
        <w:tc>
          <w:tcPr>
            <w:tcW w:w="110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82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88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148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eastAsia="Times New Roman"/>
                <w:sz w:val="20"/>
                <w:szCs w:val="20"/>
              </w:rPr>
            </w:pPr>
          </w:p>
        </w:tc>
        <w:tc>
          <w:tcPr>
            <w:tcW w:w="1440" w:type="dxa"/>
            <w:tcBorders>
              <w:top w:val="nil"/>
              <w:left w:val="nil"/>
              <w:bottom w:val="nil"/>
              <w:right w:val="nil"/>
            </w:tcBorders>
            <w:shd w:val="clear" w:color="auto" w:fill="auto"/>
            <w:noWrap/>
            <w:vAlign w:val="bottom"/>
          </w:tcPr>
          <w:p w:rsidR="00CF17AC" w:rsidRPr="00084897" w:rsidRDefault="00CF17AC" w:rsidP="00084897">
            <w:pPr>
              <w:spacing w:line="240" w:lineRule="auto"/>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tcPr>
          <w:p w:rsidR="00CF17AC" w:rsidRPr="00084897" w:rsidRDefault="00CF17AC" w:rsidP="00084897">
            <w:pPr>
              <w:spacing w:line="240" w:lineRule="auto"/>
              <w:jc w:val="right"/>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tcPr>
          <w:p w:rsidR="00CF17AC" w:rsidRPr="00084897" w:rsidRDefault="00CF17AC" w:rsidP="00084897">
            <w:pPr>
              <w:spacing w:line="240" w:lineRule="auto"/>
              <w:jc w:val="right"/>
              <w:rPr>
                <w:rFonts w:ascii="Arial" w:eastAsia="Times New Roman" w:hAnsi="Arial" w:cs="Arial"/>
                <w:sz w:val="20"/>
                <w:szCs w:val="20"/>
              </w:rPr>
            </w:pPr>
          </w:p>
        </w:tc>
      </w:tr>
    </w:tbl>
    <w:p w:rsidR="0094418E" w:rsidRDefault="00D36824" w:rsidP="0094418E">
      <w:r>
        <w:rPr>
          <w:noProof/>
          <w:lang w:val="en-GB" w:eastAsia="en-GB"/>
        </w:rPr>
        <w:drawing>
          <wp:inline distT="0" distB="0" distL="0" distR="0" wp14:anchorId="333F255F" wp14:editId="188972AC">
            <wp:extent cx="4524375" cy="2562225"/>
            <wp:effectExtent l="0" t="0" r="9525" b="9525"/>
            <wp:docPr id="4" name="Chart 4">
              <a:extLst xmlns:a="http://schemas.openxmlformats.org/drawingml/2006/main">
                <a:ext uri="{FF2B5EF4-FFF2-40B4-BE49-F238E27FC236}">
                  <a16:creationId xmlns:a16="http://schemas.microsoft.com/office/drawing/2014/main" id="{EE9AFAB1-F5A9-4C91-BE83-3CAD5B4D6B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6824" w:rsidRPr="00CF17AC" w:rsidRDefault="00D36824" w:rsidP="00D36824">
      <w:pPr>
        <w:rPr>
          <w:sz w:val="22"/>
        </w:rPr>
      </w:pPr>
      <w:r>
        <w:lastRenderedPageBreak/>
        <w:t>(</w:t>
      </w:r>
      <w:r w:rsidRPr="00CF17AC">
        <w:rPr>
          <w:sz w:val="22"/>
        </w:rPr>
        <w:t>b) The MA7 forecasts show somewhat lower values for the MAE and for the MSE.  The MAPE is not appropriate because the observations may be negative.</w:t>
      </w:r>
    </w:p>
    <w:p w:rsidR="00D36824" w:rsidRDefault="00D36824" w:rsidP="0094418E"/>
    <w:p w:rsidR="00E11611" w:rsidRDefault="00433087" w:rsidP="00CF17AC">
      <w:pPr>
        <w:pStyle w:val="Heading3"/>
      </w:pPr>
      <w:r>
        <w:t>3</w:t>
      </w:r>
      <w:r w:rsidR="007B4DBC">
        <w:t>.3</w:t>
      </w:r>
    </w:p>
    <w:p w:rsidR="00E11611" w:rsidRDefault="007B4DBC" w:rsidP="0094418E">
      <w:pPr>
        <w:rPr>
          <w:lang w:eastAsia="zh-CN"/>
        </w:rPr>
      </w:pPr>
      <w:r>
        <w:t xml:space="preserve">a) </w:t>
      </w:r>
      <w:r w:rsidR="00347A53">
        <w:rPr>
          <w:rFonts w:hint="eastAsia"/>
          <w:lang w:eastAsia="zh-CN"/>
        </w:rPr>
        <w:t xml:space="preserve"> </w:t>
      </w:r>
      <w:r w:rsidR="00EC7C71">
        <w:rPr>
          <w:lang w:eastAsia="zh-CN"/>
        </w:rPr>
        <w:t>Results are given for out-of-sample using the ESM.</w:t>
      </w:r>
    </w:p>
    <w:p w:rsidR="00BE4EF8" w:rsidRDefault="00347A53" w:rsidP="0094418E">
      <w:pPr>
        <w:rPr>
          <w:lang w:eastAsia="zh-CN"/>
        </w:rPr>
      </w:pPr>
      <w:r>
        <w:t>α=</w:t>
      </w:r>
      <w:r>
        <w:rPr>
          <w:rFonts w:hint="eastAsia"/>
          <w:lang w:eastAsia="zh-CN"/>
        </w:rPr>
        <w:t>0.2</w:t>
      </w:r>
    </w:p>
    <w:tbl>
      <w:tblPr>
        <w:tblW w:w="6871" w:type="dxa"/>
        <w:tblInd w:w="-15" w:type="dxa"/>
        <w:tblLook w:val="04A0" w:firstRow="1" w:lastRow="0" w:firstColumn="1" w:lastColumn="0" w:noHBand="0" w:noVBand="1"/>
      </w:tblPr>
      <w:tblGrid>
        <w:gridCol w:w="5820"/>
        <w:gridCol w:w="1051"/>
      </w:tblGrid>
      <w:tr w:rsidR="00E11611" w:rsidRPr="00E11611" w:rsidTr="00EC7C71">
        <w:trPr>
          <w:trHeight w:val="270"/>
        </w:trPr>
        <w:tc>
          <w:tcPr>
            <w:tcW w:w="6871"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Forecasting Information for Single Exponential smoothing</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Total Observations</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53</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Holdout</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15</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Forecast Horizon</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10</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In sample Error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1.7468</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4.8806</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2.2092</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0.2582</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0.2264</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Out of sample Error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1.4777</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5.2127</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2.2831</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0.1154</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0.5691</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Parameter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alpha</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0.2000</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bl>
    <w:p w:rsidR="00BE4EF8" w:rsidRDefault="00BE4EF8" w:rsidP="0094418E">
      <w:pPr>
        <w:rPr>
          <w:lang w:eastAsia="zh-CN"/>
        </w:rPr>
      </w:pPr>
    </w:p>
    <w:p w:rsidR="00347A53" w:rsidRDefault="00347A53" w:rsidP="00347A53">
      <w:pPr>
        <w:rPr>
          <w:lang w:eastAsia="zh-CN"/>
        </w:rPr>
      </w:pPr>
      <w:r>
        <w:t>α=</w:t>
      </w:r>
      <w:r>
        <w:rPr>
          <w:rFonts w:hint="eastAsia"/>
          <w:lang w:eastAsia="zh-CN"/>
        </w:rPr>
        <w:t>0.5</w:t>
      </w:r>
    </w:p>
    <w:tbl>
      <w:tblPr>
        <w:tblW w:w="6871" w:type="dxa"/>
        <w:tblInd w:w="-15" w:type="dxa"/>
        <w:tblLook w:val="04A0" w:firstRow="1" w:lastRow="0" w:firstColumn="1" w:lastColumn="0" w:noHBand="0" w:noVBand="1"/>
      </w:tblPr>
      <w:tblGrid>
        <w:gridCol w:w="5820"/>
        <w:gridCol w:w="1051"/>
      </w:tblGrid>
      <w:tr w:rsidR="00E11611" w:rsidRPr="00E11611" w:rsidTr="00EC7C71">
        <w:trPr>
          <w:trHeight w:val="270"/>
        </w:trPr>
        <w:tc>
          <w:tcPr>
            <w:tcW w:w="6871"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Forecasting Information for Single Exponential smoothing</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Total Observations</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53</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Holdout</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15</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Forecast Horizon</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10</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In sample Error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1.6768</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4.4987</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2.1210</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0.2511</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0.2184</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lastRenderedPageBreak/>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Out of sample Error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1.7413</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5.0368</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2.2443</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0.2332</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0.8681</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Parameter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alpha</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0.5000</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bl>
    <w:p w:rsidR="00BE4EF8" w:rsidRDefault="00BE4EF8" w:rsidP="0094418E">
      <w:pPr>
        <w:rPr>
          <w:lang w:eastAsia="zh-CN"/>
        </w:rPr>
      </w:pPr>
    </w:p>
    <w:p w:rsidR="00347A53" w:rsidRDefault="00347A53" w:rsidP="00347A53">
      <w:pPr>
        <w:rPr>
          <w:lang w:eastAsia="zh-CN"/>
        </w:rPr>
      </w:pPr>
      <w:r>
        <w:t>α=</w:t>
      </w:r>
      <w:r>
        <w:rPr>
          <w:rFonts w:hint="eastAsia"/>
          <w:lang w:eastAsia="zh-CN"/>
        </w:rPr>
        <w:t>0.8</w:t>
      </w:r>
    </w:p>
    <w:tbl>
      <w:tblPr>
        <w:tblW w:w="6871" w:type="dxa"/>
        <w:tblInd w:w="-15" w:type="dxa"/>
        <w:tblLook w:val="04A0" w:firstRow="1" w:lastRow="0" w:firstColumn="1" w:lastColumn="0" w:noHBand="0" w:noVBand="1"/>
      </w:tblPr>
      <w:tblGrid>
        <w:gridCol w:w="5820"/>
        <w:gridCol w:w="1051"/>
      </w:tblGrid>
      <w:tr w:rsidR="00E11611" w:rsidRPr="00E11611" w:rsidTr="00EC7C71">
        <w:trPr>
          <w:trHeight w:val="270"/>
        </w:trPr>
        <w:tc>
          <w:tcPr>
            <w:tcW w:w="6871"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Forecasting Information for Single Exponential smoothing</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Total Observations</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53</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Holdout</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15</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Forecast Horizon</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10</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In sample Error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1.8363</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5.3158</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2.3056</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0.2715</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0.2404</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Out of sample Error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1.7066</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4.9516</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2.2252</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0.2735</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2.3133</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b/>
                <w:bCs/>
                <w:sz w:val="20"/>
                <w:szCs w:val="20"/>
              </w:rPr>
            </w:pPr>
            <w:r w:rsidRPr="00E11611">
              <w:rPr>
                <w:rFonts w:ascii="Arial" w:eastAsia="Times New Roman" w:hAnsi="Arial" w:cs="Arial"/>
                <w:b/>
                <w:bCs/>
                <w:sz w:val="20"/>
                <w:szCs w:val="20"/>
              </w:rPr>
              <w:t>Parameter</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alpha</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CF17AC">
            <w:pPr>
              <w:spacing w:line="240" w:lineRule="auto"/>
              <w:jc w:val="right"/>
              <w:rPr>
                <w:rFonts w:ascii="Arial" w:eastAsia="Times New Roman" w:hAnsi="Arial" w:cs="Arial"/>
                <w:sz w:val="20"/>
                <w:szCs w:val="20"/>
              </w:rPr>
            </w:pPr>
            <w:r w:rsidRPr="00E11611">
              <w:rPr>
                <w:rFonts w:ascii="Arial" w:eastAsia="Times New Roman" w:hAnsi="Arial" w:cs="Arial"/>
                <w:sz w:val="20"/>
                <w:szCs w:val="20"/>
              </w:rPr>
              <w:t>0.8000</w:t>
            </w:r>
          </w:p>
        </w:tc>
      </w:tr>
      <w:tr w:rsidR="00E11611" w:rsidRPr="00E11611" w:rsidTr="00EC7C71">
        <w:trPr>
          <w:trHeight w:val="255"/>
        </w:trPr>
        <w:tc>
          <w:tcPr>
            <w:tcW w:w="5820" w:type="dxa"/>
            <w:tcBorders>
              <w:top w:val="nil"/>
              <w:left w:val="single" w:sz="12" w:space="0" w:color="000000"/>
              <w:bottom w:val="nil"/>
              <w:right w:val="nil"/>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11611" w:rsidRPr="00E11611" w:rsidRDefault="00E11611" w:rsidP="00E11611">
            <w:pPr>
              <w:spacing w:line="240" w:lineRule="auto"/>
              <w:rPr>
                <w:rFonts w:ascii="Arial" w:eastAsia="Times New Roman" w:hAnsi="Arial" w:cs="Arial"/>
                <w:sz w:val="20"/>
                <w:szCs w:val="20"/>
              </w:rPr>
            </w:pPr>
            <w:r w:rsidRPr="00E11611">
              <w:rPr>
                <w:rFonts w:ascii="Arial" w:eastAsia="Times New Roman" w:hAnsi="Arial" w:cs="Arial"/>
                <w:sz w:val="20"/>
                <w:szCs w:val="20"/>
              </w:rPr>
              <w:t> </w:t>
            </w:r>
          </w:p>
        </w:tc>
      </w:tr>
    </w:tbl>
    <w:p w:rsidR="00BE4EF8" w:rsidRDefault="00BE4EF8" w:rsidP="0094418E">
      <w:pPr>
        <w:rPr>
          <w:lang w:eastAsia="zh-CN"/>
        </w:rPr>
      </w:pPr>
    </w:p>
    <w:p w:rsidR="007B4DBC" w:rsidRPr="00CF17AC" w:rsidRDefault="007B4DBC" w:rsidP="0094418E">
      <w:pPr>
        <w:rPr>
          <w:sz w:val="22"/>
          <w:szCs w:val="22"/>
        </w:rPr>
      </w:pPr>
      <w:r w:rsidRPr="00CF17AC">
        <w:rPr>
          <w:sz w:val="22"/>
          <w:szCs w:val="22"/>
        </w:rPr>
        <w:t>The</w:t>
      </w:r>
      <w:r w:rsidR="00923F59" w:rsidRPr="00CF17AC">
        <w:rPr>
          <w:sz w:val="22"/>
          <w:szCs w:val="22"/>
        </w:rPr>
        <w:t xml:space="preserve"> </w:t>
      </w:r>
      <w:r w:rsidR="00E11611" w:rsidRPr="00CF17AC">
        <w:rPr>
          <w:sz w:val="22"/>
          <w:szCs w:val="22"/>
        </w:rPr>
        <w:t xml:space="preserve">out-of-sample </w:t>
      </w:r>
      <w:r w:rsidR="00923F59" w:rsidRPr="00CF17AC">
        <w:rPr>
          <w:sz w:val="22"/>
          <w:szCs w:val="22"/>
        </w:rPr>
        <w:t xml:space="preserve">summary </w:t>
      </w:r>
      <w:r w:rsidRPr="00CF17AC">
        <w:rPr>
          <w:sz w:val="22"/>
          <w:szCs w:val="22"/>
        </w:rPr>
        <w:t>results are</w:t>
      </w:r>
      <w:r w:rsidR="00F45D82" w:rsidRPr="00CF17AC">
        <w:rPr>
          <w:sz w:val="22"/>
          <w:szCs w:val="22"/>
        </w:rPr>
        <w:t xml:space="preserve"> shown</w:t>
      </w:r>
      <w:r w:rsidR="00923F59" w:rsidRPr="00CF17AC">
        <w:rPr>
          <w:sz w:val="22"/>
          <w:szCs w:val="22"/>
        </w:rPr>
        <w:t xml:space="preserve"> in the table</w:t>
      </w:r>
      <w:r w:rsidR="00F45D82" w:rsidRPr="00CF17AC">
        <w:rPr>
          <w:sz w:val="22"/>
          <w:szCs w:val="22"/>
        </w:rPr>
        <w:t xml:space="preserve">. </w:t>
      </w:r>
      <w:r w:rsidRPr="00CF17AC">
        <w:rPr>
          <w:sz w:val="22"/>
          <w:szCs w:val="22"/>
        </w:rPr>
        <w:t xml:space="preserve"> </w:t>
      </w:r>
    </w:p>
    <w:tbl>
      <w:tblPr>
        <w:tblStyle w:val="TableGrid"/>
        <w:tblW w:w="0" w:type="auto"/>
        <w:tblInd w:w="615" w:type="dxa"/>
        <w:tblLook w:val="04A0" w:firstRow="1" w:lastRow="0" w:firstColumn="1" w:lastColumn="0" w:noHBand="0" w:noVBand="1"/>
      </w:tblPr>
      <w:tblGrid>
        <w:gridCol w:w="1641"/>
        <w:gridCol w:w="1490"/>
        <w:gridCol w:w="1516"/>
        <w:gridCol w:w="1516"/>
        <w:gridCol w:w="1286"/>
        <w:gridCol w:w="1286"/>
      </w:tblGrid>
      <w:tr w:rsidR="00E11611" w:rsidRPr="00CF17AC" w:rsidTr="00E11611">
        <w:trPr>
          <w:trHeight w:val="281"/>
        </w:trPr>
        <w:tc>
          <w:tcPr>
            <w:tcW w:w="1641" w:type="dxa"/>
          </w:tcPr>
          <w:p w:rsidR="00E11611" w:rsidRPr="00CF17AC" w:rsidRDefault="00E11611" w:rsidP="0094418E">
            <w:pPr>
              <w:rPr>
                <w:sz w:val="22"/>
                <w:szCs w:val="22"/>
              </w:rPr>
            </w:pPr>
            <w:r w:rsidRPr="00CF17AC">
              <w:rPr>
                <w:sz w:val="22"/>
                <w:szCs w:val="22"/>
              </w:rPr>
              <w:t>Criterion</w:t>
            </w:r>
          </w:p>
        </w:tc>
        <w:tc>
          <w:tcPr>
            <w:tcW w:w="1490" w:type="dxa"/>
          </w:tcPr>
          <w:p w:rsidR="00E11611" w:rsidRPr="00CF17AC" w:rsidRDefault="00E11611" w:rsidP="0094418E">
            <w:pPr>
              <w:rPr>
                <w:sz w:val="22"/>
                <w:szCs w:val="22"/>
              </w:rPr>
            </w:pPr>
            <w:r w:rsidRPr="00CF17AC">
              <w:rPr>
                <w:sz w:val="22"/>
                <w:szCs w:val="22"/>
              </w:rPr>
              <w:t>α =0.2</w:t>
            </w:r>
          </w:p>
        </w:tc>
        <w:tc>
          <w:tcPr>
            <w:tcW w:w="1516" w:type="dxa"/>
          </w:tcPr>
          <w:p w:rsidR="00E11611" w:rsidRPr="00CF17AC" w:rsidRDefault="00E11611" w:rsidP="0094418E">
            <w:pPr>
              <w:rPr>
                <w:sz w:val="22"/>
                <w:szCs w:val="22"/>
              </w:rPr>
            </w:pPr>
            <w:r w:rsidRPr="00CF17AC">
              <w:rPr>
                <w:sz w:val="22"/>
                <w:szCs w:val="22"/>
              </w:rPr>
              <w:t>α=0.5</w:t>
            </w:r>
          </w:p>
        </w:tc>
        <w:tc>
          <w:tcPr>
            <w:tcW w:w="1516" w:type="dxa"/>
          </w:tcPr>
          <w:p w:rsidR="00E11611" w:rsidRPr="00CF17AC" w:rsidRDefault="00E11611" w:rsidP="0094418E">
            <w:pPr>
              <w:rPr>
                <w:sz w:val="22"/>
                <w:szCs w:val="22"/>
              </w:rPr>
            </w:pPr>
            <w:r w:rsidRPr="00CF17AC">
              <w:rPr>
                <w:sz w:val="22"/>
                <w:szCs w:val="22"/>
              </w:rPr>
              <w:t>α=0.8</w:t>
            </w:r>
          </w:p>
        </w:tc>
        <w:tc>
          <w:tcPr>
            <w:tcW w:w="1286" w:type="dxa"/>
          </w:tcPr>
          <w:p w:rsidR="00E11611" w:rsidRPr="00CF17AC" w:rsidRDefault="00E11611" w:rsidP="0094418E">
            <w:pPr>
              <w:rPr>
                <w:sz w:val="22"/>
                <w:szCs w:val="22"/>
              </w:rPr>
            </w:pPr>
            <w:r w:rsidRPr="00CF17AC">
              <w:rPr>
                <w:sz w:val="22"/>
                <w:szCs w:val="22"/>
              </w:rPr>
              <w:t>MA(3)</w:t>
            </w:r>
          </w:p>
        </w:tc>
        <w:tc>
          <w:tcPr>
            <w:tcW w:w="1286" w:type="dxa"/>
          </w:tcPr>
          <w:p w:rsidR="00E11611" w:rsidRPr="00CF17AC" w:rsidRDefault="00E11611" w:rsidP="0094418E">
            <w:pPr>
              <w:rPr>
                <w:sz w:val="22"/>
                <w:szCs w:val="22"/>
              </w:rPr>
            </w:pPr>
            <w:r w:rsidRPr="00CF17AC">
              <w:rPr>
                <w:sz w:val="22"/>
                <w:szCs w:val="22"/>
              </w:rPr>
              <w:t>MA(7)</w:t>
            </w:r>
          </w:p>
        </w:tc>
      </w:tr>
      <w:tr w:rsidR="00E11611" w:rsidRPr="00CF17AC" w:rsidTr="00EC7C71">
        <w:trPr>
          <w:trHeight w:val="281"/>
        </w:trPr>
        <w:tc>
          <w:tcPr>
            <w:tcW w:w="1641" w:type="dxa"/>
          </w:tcPr>
          <w:p w:rsidR="00E11611" w:rsidRPr="00CF17AC" w:rsidRDefault="00E11611" w:rsidP="0094418E">
            <w:pPr>
              <w:rPr>
                <w:sz w:val="22"/>
                <w:szCs w:val="22"/>
              </w:rPr>
            </w:pPr>
            <w:r w:rsidRPr="00CF17AC">
              <w:rPr>
                <w:sz w:val="22"/>
                <w:szCs w:val="22"/>
              </w:rPr>
              <w:t>MAE</w:t>
            </w:r>
          </w:p>
        </w:tc>
        <w:tc>
          <w:tcPr>
            <w:tcW w:w="1490"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1.48</w:t>
            </w:r>
          </w:p>
        </w:tc>
        <w:tc>
          <w:tcPr>
            <w:tcW w:w="151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1.74</w:t>
            </w:r>
          </w:p>
        </w:tc>
        <w:tc>
          <w:tcPr>
            <w:tcW w:w="151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1.71</w:t>
            </w:r>
          </w:p>
        </w:tc>
        <w:tc>
          <w:tcPr>
            <w:tcW w:w="128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2.03</w:t>
            </w:r>
          </w:p>
        </w:tc>
        <w:tc>
          <w:tcPr>
            <w:tcW w:w="128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1.55</w:t>
            </w:r>
          </w:p>
        </w:tc>
      </w:tr>
      <w:tr w:rsidR="00E11611" w:rsidRPr="00CF17AC" w:rsidTr="00EC7C71">
        <w:trPr>
          <w:trHeight w:val="296"/>
        </w:trPr>
        <w:tc>
          <w:tcPr>
            <w:tcW w:w="1641" w:type="dxa"/>
          </w:tcPr>
          <w:p w:rsidR="00E11611" w:rsidRPr="00CF17AC" w:rsidRDefault="00E11611" w:rsidP="0094418E">
            <w:pPr>
              <w:rPr>
                <w:sz w:val="22"/>
                <w:szCs w:val="22"/>
              </w:rPr>
            </w:pPr>
            <w:r w:rsidRPr="00CF17AC">
              <w:rPr>
                <w:sz w:val="22"/>
                <w:szCs w:val="22"/>
              </w:rPr>
              <w:t>RMSE</w:t>
            </w:r>
          </w:p>
        </w:tc>
        <w:tc>
          <w:tcPr>
            <w:tcW w:w="1490"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2.28</w:t>
            </w:r>
          </w:p>
        </w:tc>
        <w:tc>
          <w:tcPr>
            <w:tcW w:w="151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2.24</w:t>
            </w:r>
          </w:p>
        </w:tc>
        <w:tc>
          <w:tcPr>
            <w:tcW w:w="151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2.23</w:t>
            </w:r>
          </w:p>
        </w:tc>
        <w:tc>
          <w:tcPr>
            <w:tcW w:w="128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2.54</w:t>
            </w:r>
          </w:p>
        </w:tc>
        <w:tc>
          <w:tcPr>
            <w:tcW w:w="1286" w:type="dxa"/>
            <w:vAlign w:val="center"/>
          </w:tcPr>
          <w:p w:rsidR="00E11611" w:rsidRPr="00CF17AC" w:rsidRDefault="00EC7C71" w:rsidP="00EC7C71">
            <w:pPr>
              <w:jc w:val="center"/>
              <w:rPr>
                <w:rFonts w:ascii="Arial" w:eastAsia="Times New Roman" w:hAnsi="Arial" w:cs="Arial"/>
                <w:sz w:val="22"/>
                <w:szCs w:val="22"/>
                <w:lang w:eastAsia="zh-CN"/>
              </w:rPr>
            </w:pPr>
            <w:r w:rsidRPr="00CF17AC">
              <w:rPr>
                <w:rFonts w:ascii="Arial" w:eastAsia="Times New Roman" w:hAnsi="Arial" w:cs="Arial"/>
                <w:sz w:val="22"/>
                <w:szCs w:val="22"/>
                <w:lang w:eastAsia="zh-CN"/>
              </w:rPr>
              <w:t>2.28</w:t>
            </w:r>
          </w:p>
        </w:tc>
      </w:tr>
    </w:tbl>
    <w:p w:rsidR="007B4DBC" w:rsidRPr="00CF17AC" w:rsidRDefault="007B4DBC" w:rsidP="0094418E">
      <w:pPr>
        <w:rPr>
          <w:sz w:val="22"/>
          <w:szCs w:val="22"/>
        </w:rPr>
      </w:pPr>
    </w:p>
    <w:p w:rsidR="007B4DBC" w:rsidRPr="00CF17AC" w:rsidRDefault="007B4DBC" w:rsidP="0094418E">
      <w:pPr>
        <w:rPr>
          <w:sz w:val="22"/>
          <w:szCs w:val="22"/>
        </w:rPr>
      </w:pPr>
      <w:r w:rsidRPr="00CF17AC">
        <w:rPr>
          <w:sz w:val="22"/>
          <w:szCs w:val="22"/>
        </w:rPr>
        <w:t xml:space="preserve">(b) </w:t>
      </w:r>
      <w:r w:rsidR="00E11611" w:rsidRPr="00CF17AC">
        <w:rPr>
          <w:sz w:val="22"/>
          <w:szCs w:val="22"/>
        </w:rPr>
        <w:t>No clear preference</w:t>
      </w:r>
      <w:r w:rsidR="00C92AE2" w:rsidRPr="00CF17AC">
        <w:rPr>
          <w:sz w:val="22"/>
          <w:szCs w:val="22"/>
        </w:rPr>
        <w:t>.</w:t>
      </w:r>
      <w:r w:rsidR="008438C4" w:rsidRPr="00CF17AC">
        <w:rPr>
          <w:sz w:val="22"/>
          <w:szCs w:val="22"/>
        </w:rPr>
        <w:t xml:space="preserve"> Note that MAPE </w:t>
      </w:r>
      <w:r w:rsidR="00C54673" w:rsidRPr="00CF17AC">
        <w:rPr>
          <w:sz w:val="22"/>
          <w:szCs w:val="22"/>
        </w:rPr>
        <w:t>not useful</w:t>
      </w:r>
      <w:r w:rsidR="008438C4" w:rsidRPr="00CF17AC">
        <w:rPr>
          <w:sz w:val="22"/>
          <w:szCs w:val="22"/>
        </w:rPr>
        <w:t xml:space="preserve"> in this example.</w:t>
      </w:r>
    </w:p>
    <w:p w:rsidR="00B830F7" w:rsidRPr="00CF17AC" w:rsidRDefault="00C92AE2" w:rsidP="00EC7C71">
      <w:pPr>
        <w:rPr>
          <w:sz w:val="22"/>
          <w:szCs w:val="22"/>
        </w:rPr>
      </w:pPr>
      <w:r w:rsidRPr="00CF17AC">
        <w:rPr>
          <w:sz w:val="22"/>
          <w:szCs w:val="22"/>
        </w:rPr>
        <w:t xml:space="preserve">(c) </w:t>
      </w:r>
      <w:r w:rsidR="00EC7C71" w:rsidRPr="00CF17AC">
        <w:rPr>
          <w:sz w:val="22"/>
          <w:szCs w:val="22"/>
        </w:rPr>
        <w:t xml:space="preserve">MA(7) and SES(0.2) perform very similarly. MA(3) is inferior. </w:t>
      </w:r>
    </w:p>
    <w:p w:rsidR="00B830F7" w:rsidRPr="00CF17AC" w:rsidRDefault="00B830F7" w:rsidP="00B830F7">
      <w:pPr>
        <w:rPr>
          <w:sz w:val="22"/>
          <w:szCs w:val="22"/>
        </w:rPr>
      </w:pPr>
      <w:r w:rsidRPr="00CF17AC">
        <w:rPr>
          <w:sz w:val="22"/>
          <w:szCs w:val="22"/>
        </w:rPr>
        <w:br w:type="page"/>
      </w:r>
    </w:p>
    <w:p w:rsidR="00C92AE2" w:rsidRPr="00CF17AC" w:rsidRDefault="00C92AE2" w:rsidP="00C92AE2">
      <w:pPr>
        <w:rPr>
          <w:sz w:val="22"/>
          <w:szCs w:val="22"/>
        </w:rPr>
      </w:pPr>
    </w:p>
    <w:p w:rsidR="00A1222D" w:rsidRPr="00CF17AC" w:rsidRDefault="00A1222D" w:rsidP="00C92AE2">
      <w:pPr>
        <w:rPr>
          <w:sz w:val="22"/>
          <w:szCs w:val="22"/>
        </w:rPr>
      </w:pPr>
    </w:p>
    <w:p w:rsidR="00356804" w:rsidRPr="00CF17AC" w:rsidRDefault="00CA325B" w:rsidP="00CF17AC">
      <w:pPr>
        <w:pStyle w:val="Heading3"/>
      </w:pPr>
      <w:r w:rsidRPr="00CF17AC">
        <w:t>3</w:t>
      </w:r>
      <w:r w:rsidR="00694B5F" w:rsidRPr="00CF17AC">
        <w:t>.4</w:t>
      </w:r>
      <w:r w:rsidR="00A1222D" w:rsidRPr="00CF17AC">
        <w:t xml:space="preserve"> </w:t>
      </w:r>
    </w:p>
    <w:p w:rsidR="00C92AE2" w:rsidRDefault="00EC7C71" w:rsidP="0094418E">
      <w:pPr>
        <w:rPr>
          <w:lang w:eastAsia="zh-CN"/>
        </w:rPr>
      </w:pPr>
      <w:r w:rsidRPr="00CF17AC">
        <w:rPr>
          <w:sz w:val="22"/>
          <w:szCs w:val="22"/>
        </w:rPr>
        <w:t xml:space="preserve">The ESM gives the following out-of-sample results </w:t>
      </w:r>
      <w:r w:rsidR="00A1222D" w:rsidRPr="00CF17AC">
        <w:rPr>
          <w:sz w:val="22"/>
          <w:szCs w:val="22"/>
        </w:rPr>
        <w:t>[Recall that best fit in-sample does not imply the best performance in the hold-out sample.]</w:t>
      </w:r>
    </w:p>
    <w:tbl>
      <w:tblPr>
        <w:tblW w:w="6871" w:type="dxa"/>
        <w:tblInd w:w="-15" w:type="dxa"/>
        <w:tblLook w:val="04A0" w:firstRow="1" w:lastRow="0" w:firstColumn="1" w:lastColumn="0" w:noHBand="0" w:noVBand="1"/>
      </w:tblPr>
      <w:tblGrid>
        <w:gridCol w:w="5820"/>
        <w:gridCol w:w="1051"/>
      </w:tblGrid>
      <w:tr w:rsidR="00EC7C71" w:rsidRPr="00EC7C71" w:rsidTr="00C54673">
        <w:trPr>
          <w:trHeight w:val="270"/>
        </w:trPr>
        <w:tc>
          <w:tcPr>
            <w:tcW w:w="6871"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b/>
                <w:bCs/>
                <w:sz w:val="20"/>
                <w:szCs w:val="20"/>
              </w:rPr>
            </w:pPr>
            <w:r w:rsidRPr="00EC7C71">
              <w:rPr>
                <w:rFonts w:ascii="Arial" w:eastAsia="Times New Roman" w:hAnsi="Arial" w:cs="Arial"/>
                <w:b/>
                <w:bCs/>
                <w:sz w:val="20"/>
                <w:szCs w:val="20"/>
              </w:rPr>
              <w:t>Forecasting Information for Single Exponential smoothing</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Total Observations</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jc w:val="right"/>
              <w:rPr>
                <w:rFonts w:ascii="Arial" w:eastAsia="Times New Roman" w:hAnsi="Arial" w:cs="Arial"/>
                <w:sz w:val="20"/>
                <w:szCs w:val="20"/>
              </w:rPr>
            </w:pPr>
            <w:r w:rsidRPr="00EC7C71">
              <w:rPr>
                <w:rFonts w:ascii="Arial" w:eastAsia="Times New Roman" w:hAnsi="Arial" w:cs="Arial"/>
                <w:sz w:val="20"/>
                <w:szCs w:val="20"/>
              </w:rPr>
              <w:t>53</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Holdout</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jc w:val="right"/>
              <w:rPr>
                <w:rFonts w:ascii="Arial" w:eastAsia="Times New Roman" w:hAnsi="Arial" w:cs="Arial"/>
                <w:sz w:val="20"/>
                <w:szCs w:val="20"/>
              </w:rPr>
            </w:pPr>
            <w:r w:rsidRPr="00EC7C71">
              <w:rPr>
                <w:rFonts w:ascii="Arial" w:eastAsia="Times New Roman" w:hAnsi="Arial" w:cs="Arial"/>
                <w:sz w:val="20"/>
                <w:szCs w:val="20"/>
              </w:rPr>
              <w:t>15</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Forecast Horizon</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jc w:val="right"/>
              <w:rPr>
                <w:rFonts w:ascii="Arial" w:eastAsia="Times New Roman" w:hAnsi="Arial" w:cs="Arial"/>
                <w:sz w:val="20"/>
                <w:szCs w:val="20"/>
              </w:rPr>
            </w:pPr>
            <w:r w:rsidRPr="00EC7C71">
              <w:rPr>
                <w:rFonts w:ascii="Arial" w:eastAsia="Times New Roman" w:hAnsi="Arial" w:cs="Arial"/>
                <w:sz w:val="20"/>
                <w:szCs w:val="20"/>
              </w:rPr>
              <w:t>10</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b/>
                <w:bCs/>
                <w:sz w:val="20"/>
                <w:szCs w:val="20"/>
              </w:rPr>
            </w:pPr>
            <w:r w:rsidRPr="00EC7C71">
              <w:rPr>
                <w:rFonts w:ascii="Arial" w:eastAsia="Times New Roman" w:hAnsi="Arial" w:cs="Arial"/>
                <w:b/>
                <w:bCs/>
                <w:sz w:val="20"/>
                <w:szCs w:val="20"/>
              </w:rPr>
              <w:t>In sample Error</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1.6310</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4.3857</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2.0942</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CF17AC">
            <w:pPr>
              <w:spacing w:line="240" w:lineRule="auto"/>
              <w:jc w:val="right"/>
              <w:rPr>
                <w:rFonts w:ascii="Arial" w:eastAsia="Times New Roman" w:hAnsi="Arial" w:cs="Arial"/>
                <w:sz w:val="20"/>
                <w:szCs w:val="20"/>
              </w:rPr>
            </w:pPr>
            <w:r w:rsidRPr="00EC7C71">
              <w:rPr>
                <w:rFonts w:ascii="Arial" w:eastAsia="Times New Roman" w:hAnsi="Arial" w:cs="Arial"/>
                <w:sz w:val="20"/>
                <w:szCs w:val="20"/>
              </w:rPr>
              <w:t>0.2448</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CF17AC">
            <w:pPr>
              <w:spacing w:line="240" w:lineRule="auto"/>
              <w:jc w:val="right"/>
              <w:rPr>
                <w:rFonts w:ascii="Arial" w:eastAsia="Times New Roman" w:hAnsi="Arial" w:cs="Arial"/>
                <w:sz w:val="20"/>
                <w:szCs w:val="20"/>
              </w:rPr>
            </w:pPr>
            <w:r w:rsidRPr="00EC7C71">
              <w:rPr>
                <w:rFonts w:ascii="Arial" w:eastAsia="Times New Roman" w:hAnsi="Arial" w:cs="Arial"/>
                <w:sz w:val="20"/>
                <w:szCs w:val="20"/>
              </w:rPr>
              <w:t>0.2121</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b/>
                <w:bCs/>
                <w:sz w:val="20"/>
                <w:szCs w:val="20"/>
              </w:rPr>
            </w:pPr>
            <w:r w:rsidRPr="00EC7C71">
              <w:rPr>
                <w:rFonts w:ascii="Arial" w:eastAsia="Times New Roman" w:hAnsi="Arial" w:cs="Arial"/>
                <w:b/>
                <w:bCs/>
                <w:sz w:val="20"/>
                <w:szCs w:val="20"/>
              </w:rPr>
              <w:t>Out of sample Error</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1.6578</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5.0538</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2.2481</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CF17AC">
            <w:pPr>
              <w:spacing w:line="240" w:lineRule="auto"/>
              <w:jc w:val="right"/>
              <w:rPr>
                <w:rFonts w:ascii="Arial" w:eastAsia="Times New Roman" w:hAnsi="Arial" w:cs="Arial"/>
                <w:sz w:val="20"/>
                <w:szCs w:val="20"/>
              </w:rPr>
            </w:pPr>
            <w:r w:rsidRPr="00EC7C71">
              <w:rPr>
                <w:rFonts w:ascii="Arial" w:eastAsia="Times New Roman" w:hAnsi="Arial" w:cs="Arial"/>
                <w:sz w:val="20"/>
                <w:szCs w:val="20"/>
              </w:rPr>
              <w:t>0.1907</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CF17AC" w:rsidP="00CF17AC">
            <w:pPr>
              <w:spacing w:line="240" w:lineRule="auto"/>
              <w:jc w:val="right"/>
              <w:rPr>
                <w:rFonts w:ascii="Arial" w:eastAsia="Times New Roman" w:hAnsi="Arial" w:cs="Arial"/>
                <w:sz w:val="20"/>
                <w:szCs w:val="20"/>
              </w:rPr>
            </w:pPr>
            <w:r>
              <w:rPr>
                <w:rFonts w:ascii="Arial" w:eastAsia="Times New Roman" w:hAnsi="Arial" w:cs="Arial"/>
                <w:sz w:val="20"/>
                <w:szCs w:val="20"/>
              </w:rPr>
              <w:t>0.7211</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b/>
                <w:bCs/>
                <w:sz w:val="20"/>
                <w:szCs w:val="20"/>
              </w:rPr>
            </w:pPr>
            <w:r w:rsidRPr="00EC7C71">
              <w:rPr>
                <w:rFonts w:ascii="Arial" w:eastAsia="Times New Roman" w:hAnsi="Arial" w:cs="Arial"/>
                <w:b/>
                <w:bCs/>
                <w:sz w:val="20"/>
                <w:szCs w:val="20"/>
              </w:rPr>
              <w:t>Parameter</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 </w:t>
            </w:r>
          </w:p>
        </w:tc>
      </w:tr>
      <w:tr w:rsidR="00EC7C71" w:rsidRPr="00EC7C71" w:rsidTr="00C54673">
        <w:trPr>
          <w:trHeight w:val="255"/>
        </w:trPr>
        <w:tc>
          <w:tcPr>
            <w:tcW w:w="5820" w:type="dxa"/>
            <w:tcBorders>
              <w:top w:val="nil"/>
              <w:left w:val="single" w:sz="12" w:space="0" w:color="000000"/>
              <w:bottom w:val="nil"/>
              <w:right w:val="nil"/>
            </w:tcBorders>
            <w:shd w:val="clear" w:color="auto" w:fill="auto"/>
            <w:noWrap/>
            <w:vAlign w:val="bottom"/>
            <w:hideMark/>
          </w:tcPr>
          <w:p w:rsidR="00EC7C71" w:rsidRPr="00EC7C71" w:rsidRDefault="00EC7C71" w:rsidP="00EC7C71">
            <w:pPr>
              <w:spacing w:line="240" w:lineRule="auto"/>
              <w:rPr>
                <w:rFonts w:ascii="Arial" w:eastAsia="Times New Roman" w:hAnsi="Arial" w:cs="Arial"/>
                <w:sz w:val="20"/>
                <w:szCs w:val="20"/>
              </w:rPr>
            </w:pPr>
            <w:r w:rsidRPr="00EC7C71">
              <w:rPr>
                <w:rFonts w:ascii="Arial" w:eastAsia="Times New Roman" w:hAnsi="Arial" w:cs="Arial"/>
                <w:sz w:val="20"/>
                <w:szCs w:val="20"/>
              </w:rPr>
              <w:t>alpha</w:t>
            </w:r>
          </w:p>
        </w:tc>
        <w:tc>
          <w:tcPr>
            <w:tcW w:w="1051" w:type="dxa"/>
            <w:tcBorders>
              <w:top w:val="nil"/>
              <w:left w:val="nil"/>
              <w:bottom w:val="nil"/>
              <w:right w:val="single" w:sz="12" w:space="0" w:color="000000"/>
            </w:tcBorders>
            <w:shd w:val="clear" w:color="auto" w:fill="auto"/>
            <w:noWrap/>
            <w:vAlign w:val="bottom"/>
            <w:hideMark/>
          </w:tcPr>
          <w:p w:rsidR="00EC7C71" w:rsidRPr="00EC7C71" w:rsidRDefault="00EC7C71" w:rsidP="00CF17AC">
            <w:pPr>
              <w:spacing w:line="240" w:lineRule="auto"/>
              <w:jc w:val="right"/>
              <w:rPr>
                <w:rFonts w:ascii="Arial" w:eastAsia="Times New Roman" w:hAnsi="Arial" w:cs="Arial"/>
                <w:sz w:val="20"/>
                <w:szCs w:val="20"/>
              </w:rPr>
            </w:pPr>
            <w:r w:rsidRPr="00EC7C71">
              <w:rPr>
                <w:rFonts w:ascii="Arial" w:eastAsia="Times New Roman" w:hAnsi="Arial" w:cs="Arial"/>
                <w:sz w:val="20"/>
                <w:szCs w:val="20"/>
              </w:rPr>
              <w:t>0.3768</w:t>
            </w:r>
          </w:p>
        </w:tc>
      </w:tr>
      <w:tr w:rsidR="00A10DC2" w:rsidRPr="00EC7C71" w:rsidTr="00C54673">
        <w:trPr>
          <w:trHeight w:val="255"/>
        </w:trPr>
        <w:tc>
          <w:tcPr>
            <w:tcW w:w="5820" w:type="dxa"/>
            <w:tcBorders>
              <w:top w:val="nil"/>
              <w:left w:val="single" w:sz="12" w:space="0" w:color="000000"/>
              <w:bottom w:val="nil"/>
              <w:right w:val="nil"/>
            </w:tcBorders>
            <w:shd w:val="clear" w:color="auto" w:fill="auto"/>
            <w:noWrap/>
            <w:vAlign w:val="bottom"/>
          </w:tcPr>
          <w:p w:rsidR="00A10DC2" w:rsidRDefault="00A10DC2" w:rsidP="00EC7C71">
            <w:pPr>
              <w:spacing w:line="240" w:lineRule="auto"/>
              <w:rPr>
                <w:rFonts w:ascii="Arial" w:eastAsia="Times New Roman" w:hAnsi="Arial" w:cs="Arial"/>
                <w:sz w:val="20"/>
                <w:szCs w:val="20"/>
              </w:rPr>
            </w:pPr>
          </w:p>
          <w:p w:rsidR="00C54673" w:rsidRPr="00EC7C71" w:rsidRDefault="00C54673" w:rsidP="00EC7C71">
            <w:pPr>
              <w:spacing w:line="240" w:lineRule="auto"/>
              <w:rPr>
                <w:rFonts w:ascii="Arial" w:eastAsia="Times New Roman" w:hAnsi="Arial" w:cs="Arial"/>
                <w:sz w:val="20"/>
                <w:szCs w:val="20"/>
              </w:rPr>
            </w:pPr>
          </w:p>
        </w:tc>
        <w:tc>
          <w:tcPr>
            <w:tcW w:w="1051" w:type="dxa"/>
            <w:tcBorders>
              <w:top w:val="nil"/>
              <w:left w:val="nil"/>
              <w:bottom w:val="nil"/>
              <w:right w:val="single" w:sz="12" w:space="0" w:color="000000"/>
            </w:tcBorders>
            <w:shd w:val="clear" w:color="auto" w:fill="auto"/>
            <w:noWrap/>
            <w:vAlign w:val="bottom"/>
          </w:tcPr>
          <w:p w:rsidR="00A10DC2" w:rsidRPr="00EC7C71" w:rsidRDefault="00A10DC2" w:rsidP="00EC7C71">
            <w:pPr>
              <w:spacing w:line="240" w:lineRule="auto"/>
              <w:rPr>
                <w:rFonts w:ascii="Arial" w:eastAsia="Times New Roman" w:hAnsi="Arial" w:cs="Arial"/>
                <w:sz w:val="20"/>
                <w:szCs w:val="20"/>
              </w:rPr>
            </w:pPr>
          </w:p>
        </w:tc>
      </w:tr>
    </w:tbl>
    <w:tbl>
      <w:tblPr>
        <w:tblStyle w:val="TableGrid"/>
        <w:tblW w:w="0" w:type="auto"/>
        <w:tblInd w:w="502" w:type="dxa"/>
        <w:tblLook w:val="04A0" w:firstRow="1" w:lastRow="0" w:firstColumn="1" w:lastColumn="0" w:noHBand="0" w:noVBand="1"/>
      </w:tblPr>
      <w:tblGrid>
        <w:gridCol w:w="1638"/>
        <w:gridCol w:w="1170"/>
        <w:gridCol w:w="1170"/>
        <w:gridCol w:w="1680"/>
      </w:tblGrid>
      <w:tr w:rsidR="00356804" w:rsidTr="00C54673">
        <w:tc>
          <w:tcPr>
            <w:tcW w:w="1638" w:type="dxa"/>
          </w:tcPr>
          <w:p w:rsidR="00356804" w:rsidRDefault="00356804" w:rsidP="00F77191">
            <w:r>
              <w:t>Method</w:t>
            </w:r>
          </w:p>
        </w:tc>
        <w:tc>
          <w:tcPr>
            <w:tcW w:w="1170" w:type="dxa"/>
          </w:tcPr>
          <w:p w:rsidR="00356804" w:rsidRDefault="00EC7C71" w:rsidP="00F77191">
            <w:r>
              <w:t>MA(3</w:t>
            </w:r>
            <w:r w:rsidR="00356804">
              <w:t>)</w:t>
            </w:r>
          </w:p>
        </w:tc>
        <w:tc>
          <w:tcPr>
            <w:tcW w:w="1170" w:type="dxa"/>
          </w:tcPr>
          <w:p w:rsidR="00356804" w:rsidRDefault="00EC7C71" w:rsidP="00F77191">
            <w:r>
              <w:t>MA(7)</w:t>
            </w:r>
          </w:p>
        </w:tc>
        <w:tc>
          <w:tcPr>
            <w:tcW w:w="1680" w:type="dxa"/>
          </w:tcPr>
          <w:p w:rsidR="00356804" w:rsidRDefault="00356804" w:rsidP="00F77191">
            <w:r>
              <w:t>SES (α=0.</w:t>
            </w:r>
            <w:r w:rsidR="00A10DC2">
              <w:t>377</w:t>
            </w:r>
            <w:r>
              <w:t>)</w:t>
            </w:r>
          </w:p>
        </w:tc>
      </w:tr>
      <w:tr w:rsidR="00356804" w:rsidTr="00C54673">
        <w:tc>
          <w:tcPr>
            <w:tcW w:w="1638" w:type="dxa"/>
          </w:tcPr>
          <w:p w:rsidR="00356804" w:rsidRDefault="00356804" w:rsidP="00F77191">
            <w:r>
              <w:t>MAE</w:t>
            </w:r>
          </w:p>
        </w:tc>
        <w:tc>
          <w:tcPr>
            <w:tcW w:w="1170" w:type="dxa"/>
          </w:tcPr>
          <w:p w:rsidR="00356804" w:rsidRDefault="00356804" w:rsidP="00D80048">
            <w:pPr>
              <w:jc w:val="center"/>
              <w:rPr>
                <w:lang w:eastAsia="zh-CN"/>
              </w:rPr>
            </w:pPr>
            <w:r>
              <w:rPr>
                <w:rFonts w:hint="eastAsia"/>
                <w:lang w:eastAsia="zh-CN"/>
              </w:rPr>
              <w:t>2</w:t>
            </w:r>
            <w:r w:rsidR="00EC7C71">
              <w:rPr>
                <w:lang w:eastAsia="zh-CN"/>
              </w:rPr>
              <w:t>.03</w:t>
            </w:r>
          </w:p>
        </w:tc>
        <w:tc>
          <w:tcPr>
            <w:tcW w:w="1170" w:type="dxa"/>
          </w:tcPr>
          <w:p w:rsidR="00356804" w:rsidRDefault="00356804" w:rsidP="00D80048">
            <w:pPr>
              <w:jc w:val="center"/>
              <w:rPr>
                <w:lang w:eastAsia="zh-CN"/>
              </w:rPr>
            </w:pPr>
            <w:r>
              <w:t>1.</w:t>
            </w:r>
            <w:r w:rsidR="00EC7C71">
              <w:rPr>
                <w:rFonts w:hint="eastAsia"/>
                <w:lang w:eastAsia="zh-CN"/>
              </w:rPr>
              <w:t>55</w:t>
            </w:r>
          </w:p>
        </w:tc>
        <w:tc>
          <w:tcPr>
            <w:tcW w:w="1680" w:type="dxa"/>
            <w:vAlign w:val="bottom"/>
          </w:tcPr>
          <w:p w:rsidR="00356804" w:rsidRPr="00D80048" w:rsidRDefault="00EC7C71" w:rsidP="00D80048">
            <w:pPr>
              <w:jc w:val="center"/>
              <w:rPr>
                <w:lang w:eastAsia="zh-CN"/>
              </w:rPr>
            </w:pPr>
            <w:r>
              <w:rPr>
                <w:lang w:eastAsia="zh-CN"/>
              </w:rPr>
              <w:t>1.65</w:t>
            </w:r>
          </w:p>
        </w:tc>
      </w:tr>
      <w:tr w:rsidR="00356804" w:rsidTr="00C54673">
        <w:tc>
          <w:tcPr>
            <w:tcW w:w="1638" w:type="dxa"/>
          </w:tcPr>
          <w:p w:rsidR="00356804" w:rsidRDefault="00356804" w:rsidP="00F77191">
            <w:r>
              <w:t>RMSE</w:t>
            </w:r>
          </w:p>
        </w:tc>
        <w:tc>
          <w:tcPr>
            <w:tcW w:w="1170" w:type="dxa"/>
          </w:tcPr>
          <w:p w:rsidR="00356804" w:rsidRDefault="00EC7C71" w:rsidP="00D80048">
            <w:pPr>
              <w:jc w:val="center"/>
              <w:rPr>
                <w:lang w:eastAsia="zh-CN"/>
              </w:rPr>
            </w:pPr>
            <w:r>
              <w:rPr>
                <w:rFonts w:hint="eastAsia"/>
                <w:lang w:eastAsia="zh-CN"/>
              </w:rPr>
              <w:t>2.54</w:t>
            </w:r>
          </w:p>
        </w:tc>
        <w:tc>
          <w:tcPr>
            <w:tcW w:w="1170" w:type="dxa"/>
          </w:tcPr>
          <w:p w:rsidR="00356804" w:rsidRDefault="00EC7C71" w:rsidP="00D80048">
            <w:pPr>
              <w:jc w:val="center"/>
              <w:rPr>
                <w:lang w:eastAsia="zh-CN"/>
              </w:rPr>
            </w:pPr>
            <w:r>
              <w:rPr>
                <w:rFonts w:hint="eastAsia"/>
                <w:lang w:eastAsia="zh-CN"/>
              </w:rPr>
              <w:t>2.28</w:t>
            </w:r>
          </w:p>
        </w:tc>
        <w:tc>
          <w:tcPr>
            <w:tcW w:w="1680" w:type="dxa"/>
            <w:vAlign w:val="bottom"/>
          </w:tcPr>
          <w:p w:rsidR="00356804" w:rsidRPr="00D80048" w:rsidRDefault="00EC7C71" w:rsidP="00D80048">
            <w:pPr>
              <w:jc w:val="center"/>
            </w:pPr>
            <w:r>
              <w:t>2.25</w:t>
            </w:r>
          </w:p>
        </w:tc>
      </w:tr>
    </w:tbl>
    <w:p w:rsidR="00A1222D" w:rsidRDefault="00A1222D" w:rsidP="0094418E">
      <w:pPr>
        <w:rPr>
          <w:lang w:eastAsia="zh-CN"/>
        </w:rPr>
      </w:pPr>
    </w:p>
    <w:p w:rsidR="00347A53" w:rsidRDefault="00D80048" w:rsidP="00347A53">
      <w:pPr>
        <w:rPr>
          <w:lang w:eastAsia="zh-CN"/>
        </w:rPr>
      </w:pPr>
      <w:r>
        <w:t>The SES</w:t>
      </w:r>
      <w:r w:rsidR="00A10DC2">
        <w:t xml:space="preserve"> and MA(7)</w:t>
      </w:r>
      <w:r>
        <w:t xml:space="preserve"> method</w:t>
      </w:r>
      <w:r w:rsidR="00A10DC2">
        <w:t>s</w:t>
      </w:r>
      <w:r w:rsidR="00347A53">
        <w:t xml:space="preserve"> appears to perform</w:t>
      </w:r>
      <w:r w:rsidR="00A10DC2">
        <w:t xml:space="preserve"> equally well.</w:t>
      </w:r>
    </w:p>
    <w:p w:rsidR="00963DDC" w:rsidRDefault="00963DDC" w:rsidP="0094418E">
      <w:pPr>
        <w:rPr>
          <w:lang w:eastAsia="zh-CN"/>
        </w:rPr>
      </w:pPr>
      <w:r>
        <w:rPr>
          <w:lang w:eastAsia="zh-CN"/>
        </w:rPr>
        <w:br w:type="page"/>
      </w:r>
    </w:p>
    <w:p w:rsidR="00356804" w:rsidRDefault="00963DDC" w:rsidP="00771AC9">
      <w:pPr>
        <w:pStyle w:val="Heading3"/>
        <w:rPr>
          <w:lang w:eastAsia="zh-CN"/>
        </w:rPr>
      </w:pPr>
      <w:r>
        <w:rPr>
          <w:lang w:eastAsia="zh-CN"/>
        </w:rPr>
        <w:lastRenderedPageBreak/>
        <w:t>3.5</w:t>
      </w:r>
    </w:p>
    <w:p w:rsidR="00C83478" w:rsidRDefault="00C83478" w:rsidP="0094418E">
      <w:pPr>
        <w:rPr>
          <w:lang w:eastAsia="zh-CN"/>
        </w:rPr>
      </w:pPr>
      <w:r>
        <w:t xml:space="preserve">a) </w:t>
      </w:r>
      <w:r>
        <w:rPr>
          <w:rFonts w:hint="eastAsia"/>
          <w:lang w:eastAsia="zh-CN"/>
        </w:rPr>
        <w:t xml:space="preserve"> </w:t>
      </w:r>
      <w:r>
        <w:rPr>
          <w:lang w:eastAsia="zh-CN"/>
        </w:rPr>
        <w:t>Results are given for out-of-sample using the ESM.</w:t>
      </w:r>
    </w:p>
    <w:p w:rsidR="00C83478" w:rsidRDefault="00C83478" w:rsidP="0094418E">
      <w:pPr>
        <w:rPr>
          <w:lang w:eastAsia="zh-CN"/>
        </w:rPr>
      </w:pPr>
      <w:r>
        <w:rPr>
          <w:lang w:eastAsia="zh-CN"/>
        </w:rPr>
        <w:t>α=0.2</w:t>
      </w:r>
    </w:p>
    <w:tbl>
      <w:tblPr>
        <w:tblW w:w="5975" w:type="dxa"/>
        <w:tblLook w:val="04A0" w:firstRow="1" w:lastRow="0" w:firstColumn="1" w:lastColumn="0" w:noHBand="0" w:noVBand="1"/>
      </w:tblPr>
      <w:tblGrid>
        <w:gridCol w:w="4924"/>
        <w:gridCol w:w="1051"/>
      </w:tblGrid>
      <w:tr w:rsidR="00963DDC" w:rsidRPr="00963DDC" w:rsidTr="00CF17AC">
        <w:trPr>
          <w:trHeight w:val="270"/>
        </w:trPr>
        <w:tc>
          <w:tcPr>
            <w:tcW w:w="5975"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963DDC" w:rsidRPr="00963DDC" w:rsidRDefault="00963DDC" w:rsidP="00963DDC">
            <w:pPr>
              <w:spacing w:line="240" w:lineRule="auto"/>
              <w:rPr>
                <w:rFonts w:ascii="Arial" w:eastAsia="Times New Roman" w:hAnsi="Arial" w:cs="Arial"/>
                <w:b/>
                <w:bCs/>
                <w:sz w:val="20"/>
                <w:szCs w:val="20"/>
              </w:rPr>
            </w:pPr>
            <w:r w:rsidRPr="00963DDC">
              <w:rPr>
                <w:rFonts w:ascii="Arial" w:eastAsia="Times New Roman" w:hAnsi="Arial" w:cs="Arial"/>
                <w:b/>
                <w:bCs/>
                <w:sz w:val="20"/>
                <w:szCs w:val="20"/>
              </w:rPr>
              <w:t>Forecasting Information for Single Exponential smoothing</w:t>
            </w:r>
          </w:p>
        </w:tc>
      </w:tr>
      <w:tr w:rsidR="00963DD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r>
      <w:tr w:rsidR="00963DD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Total Observations</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jc w:val="right"/>
              <w:rPr>
                <w:rFonts w:ascii="Arial" w:eastAsia="Times New Roman" w:hAnsi="Arial" w:cs="Arial"/>
                <w:sz w:val="20"/>
                <w:szCs w:val="20"/>
              </w:rPr>
            </w:pPr>
            <w:r w:rsidRPr="00963DDC">
              <w:rPr>
                <w:rFonts w:ascii="Arial" w:eastAsia="Times New Roman" w:hAnsi="Arial" w:cs="Arial"/>
                <w:sz w:val="20"/>
                <w:szCs w:val="20"/>
              </w:rPr>
              <w:t>53</w:t>
            </w:r>
          </w:p>
        </w:tc>
      </w:tr>
      <w:tr w:rsidR="00963DD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Holdout</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jc w:val="right"/>
              <w:rPr>
                <w:rFonts w:ascii="Arial" w:eastAsia="Times New Roman" w:hAnsi="Arial" w:cs="Arial"/>
                <w:sz w:val="20"/>
                <w:szCs w:val="20"/>
              </w:rPr>
            </w:pPr>
            <w:r w:rsidRPr="00963DDC">
              <w:rPr>
                <w:rFonts w:ascii="Arial" w:eastAsia="Times New Roman" w:hAnsi="Arial" w:cs="Arial"/>
                <w:sz w:val="20"/>
                <w:szCs w:val="20"/>
              </w:rPr>
              <w:t>15</w:t>
            </w:r>
          </w:p>
        </w:tc>
      </w:tr>
      <w:tr w:rsidR="00963DD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Forecast Horizon</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jc w:val="right"/>
              <w:rPr>
                <w:rFonts w:ascii="Arial" w:eastAsia="Times New Roman" w:hAnsi="Arial" w:cs="Arial"/>
                <w:sz w:val="20"/>
                <w:szCs w:val="20"/>
              </w:rPr>
            </w:pPr>
            <w:r w:rsidRPr="00963DDC">
              <w:rPr>
                <w:rFonts w:ascii="Arial" w:eastAsia="Times New Roman" w:hAnsi="Arial" w:cs="Arial"/>
                <w:sz w:val="20"/>
                <w:szCs w:val="20"/>
              </w:rPr>
              <w:t>10</w:t>
            </w:r>
          </w:p>
        </w:tc>
      </w:tr>
      <w:tr w:rsidR="00963DD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r>
      <w:tr w:rsidR="00963DD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r>
      <w:tr w:rsidR="00963DDC" w:rsidRPr="00963DDC" w:rsidTr="00CF17AC">
        <w:trPr>
          <w:trHeight w:val="80"/>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b/>
                <w:bCs/>
                <w:sz w:val="20"/>
                <w:szCs w:val="20"/>
              </w:rPr>
            </w:pPr>
            <w:r w:rsidRPr="00963DDC">
              <w:rPr>
                <w:rFonts w:ascii="Arial" w:eastAsia="Times New Roman" w:hAnsi="Arial" w:cs="Arial"/>
                <w:b/>
                <w:bCs/>
                <w:sz w:val="20"/>
                <w:szCs w:val="20"/>
              </w:rPr>
              <w:t>In sample Error</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1.9922</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6.8099</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2.6096</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0.4670</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0.4178</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b/>
                <w:bCs/>
                <w:sz w:val="20"/>
                <w:szCs w:val="20"/>
              </w:rPr>
            </w:pPr>
            <w:r w:rsidRPr="00963DDC">
              <w:rPr>
                <w:rFonts w:ascii="Arial" w:eastAsia="Times New Roman" w:hAnsi="Arial" w:cs="Arial"/>
                <w:b/>
                <w:bCs/>
                <w:sz w:val="20"/>
                <w:szCs w:val="20"/>
              </w:rPr>
              <w:t>Out of sample Error</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0.8596</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1.4373</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1.1989</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0.6865</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0.4968</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b/>
                <w:bCs/>
                <w:sz w:val="20"/>
                <w:szCs w:val="20"/>
              </w:rPr>
            </w:pPr>
            <w:r w:rsidRPr="00963DDC">
              <w:rPr>
                <w:rFonts w:ascii="Arial" w:eastAsia="Times New Roman" w:hAnsi="Arial" w:cs="Arial"/>
                <w:b/>
                <w:bCs/>
                <w:sz w:val="20"/>
                <w:szCs w:val="20"/>
              </w:rPr>
              <w:t>Parameter</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CF17AC" w:rsidRPr="00963DDC" w:rsidRDefault="00CF17AC" w:rsidP="00CF17AC">
            <w:pPr>
              <w:spacing w:line="240" w:lineRule="auto"/>
              <w:rPr>
                <w:rFonts w:ascii="Arial" w:eastAsia="Times New Roman" w:hAnsi="Arial" w:cs="Arial"/>
                <w:sz w:val="20"/>
                <w:szCs w:val="20"/>
              </w:rPr>
            </w:pPr>
            <w:r w:rsidRPr="00963DDC">
              <w:rPr>
                <w:rFonts w:ascii="Arial" w:eastAsia="Times New Roman" w:hAnsi="Arial" w:cs="Arial"/>
                <w:sz w:val="20"/>
                <w:szCs w:val="20"/>
              </w:rPr>
              <w:t>alpha</w:t>
            </w:r>
          </w:p>
        </w:tc>
        <w:tc>
          <w:tcPr>
            <w:tcW w:w="1051"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0.2000</w:t>
            </w:r>
          </w:p>
        </w:tc>
      </w:tr>
      <w:tr w:rsidR="00963DDC" w:rsidRPr="00963DDC" w:rsidTr="00CF17AC">
        <w:trPr>
          <w:trHeight w:val="255"/>
        </w:trPr>
        <w:tc>
          <w:tcPr>
            <w:tcW w:w="4924" w:type="dxa"/>
            <w:tcBorders>
              <w:top w:val="nil"/>
              <w:left w:val="single" w:sz="12" w:space="0" w:color="000000"/>
              <w:bottom w:val="nil"/>
              <w:right w:val="nil"/>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963DDC" w:rsidRPr="00963DDC" w:rsidRDefault="00963DDC" w:rsidP="00963DDC">
            <w:pPr>
              <w:spacing w:line="240" w:lineRule="auto"/>
              <w:rPr>
                <w:rFonts w:ascii="Arial" w:eastAsia="Times New Roman" w:hAnsi="Arial" w:cs="Arial"/>
                <w:sz w:val="20"/>
                <w:szCs w:val="20"/>
              </w:rPr>
            </w:pPr>
            <w:r w:rsidRPr="00963DDC">
              <w:rPr>
                <w:rFonts w:ascii="Arial" w:eastAsia="Times New Roman" w:hAnsi="Arial" w:cs="Arial"/>
                <w:sz w:val="20"/>
                <w:szCs w:val="20"/>
              </w:rPr>
              <w:t> </w:t>
            </w:r>
          </w:p>
        </w:tc>
      </w:tr>
    </w:tbl>
    <w:p w:rsidR="00C83478" w:rsidRDefault="00C83478">
      <w:pPr>
        <w:rPr>
          <w:lang w:eastAsia="zh-CN"/>
        </w:rPr>
      </w:pPr>
      <w:r>
        <w:rPr>
          <w:lang w:eastAsia="zh-CN"/>
        </w:rPr>
        <w:t>α=0.5</w:t>
      </w:r>
    </w:p>
    <w:tbl>
      <w:tblPr>
        <w:tblW w:w="6632" w:type="dxa"/>
        <w:tblLook w:val="04A0" w:firstRow="1" w:lastRow="0" w:firstColumn="1" w:lastColumn="0" w:noHBand="0" w:noVBand="1"/>
      </w:tblPr>
      <w:tblGrid>
        <w:gridCol w:w="4672"/>
        <w:gridCol w:w="1960"/>
      </w:tblGrid>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Total Observations</w:t>
            </w:r>
          </w:p>
        </w:tc>
        <w:tc>
          <w:tcPr>
            <w:tcW w:w="1960"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jc w:val="right"/>
              <w:rPr>
                <w:rFonts w:ascii="Arial" w:eastAsia="Times New Roman" w:hAnsi="Arial" w:cs="Arial"/>
                <w:sz w:val="20"/>
                <w:szCs w:val="20"/>
              </w:rPr>
            </w:pPr>
            <w:r w:rsidRPr="00C83478">
              <w:rPr>
                <w:rFonts w:ascii="Arial" w:eastAsia="Times New Roman" w:hAnsi="Arial" w:cs="Arial"/>
                <w:sz w:val="20"/>
                <w:szCs w:val="20"/>
              </w:rPr>
              <w:t>53</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Holdout</w:t>
            </w:r>
          </w:p>
        </w:tc>
        <w:tc>
          <w:tcPr>
            <w:tcW w:w="1960"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jc w:val="right"/>
              <w:rPr>
                <w:rFonts w:ascii="Arial" w:eastAsia="Times New Roman" w:hAnsi="Arial" w:cs="Arial"/>
                <w:sz w:val="20"/>
                <w:szCs w:val="20"/>
              </w:rPr>
            </w:pPr>
            <w:r w:rsidRPr="00C83478">
              <w:rPr>
                <w:rFonts w:ascii="Arial" w:eastAsia="Times New Roman" w:hAnsi="Arial" w:cs="Arial"/>
                <w:sz w:val="20"/>
                <w:szCs w:val="20"/>
              </w:rPr>
              <w:t>15</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Forecast Horizon</w:t>
            </w:r>
          </w:p>
        </w:tc>
        <w:tc>
          <w:tcPr>
            <w:tcW w:w="1960"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jc w:val="right"/>
              <w:rPr>
                <w:rFonts w:ascii="Arial" w:eastAsia="Times New Roman" w:hAnsi="Arial" w:cs="Arial"/>
                <w:sz w:val="20"/>
                <w:szCs w:val="20"/>
              </w:rPr>
            </w:pPr>
            <w:r w:rsidRPr="00C83478">
              <w:rPr>
                <w:rFonts w:ascii="Arial" w:eastAsia="Times New Roman" w:hAnsi="Arial" w:cs="Arial"/>
                <w:sz w:val="20"/>
                <w:szCs w:val="20"/>
              </w:rPr>
              <w:t>10</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0"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0"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b/>
                <w:bCs/>
                <w:sz w:val="20"/>
                <w:szCs w:val="20"/>
              </w:rPr>
            </w:pPr>
            <w:r w:rsidRPr="00C83478">
              <w:rPr>
                <w:rFonts w:ascii="Arial" w:eastAsia="Times New Roman" w:hAnsi="Arial" w:cs="Arial"/>
                <w:b/>
                <w:bCs/>
                <w:sz w:val="20"/>
                <w:szCs w:val="20"/>
              </w:rPr>
              <w:t>In sample Error</w:t>
            </w:r>
          </w:p>
        </w:tc>
        <w:tc>
          <w:tcPr>
            <w:tcW w:w="1960"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Deviation (MAD)</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1.5932</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Squared Error (MSE)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4.6471</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Root Mean of Squared Error (RMSE)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2.1557</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Percent Error (MAPE)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0.3544</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Symmetric Mean of Absolute Percent Error (sMAPE)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0.3233</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b/>
                <w:bCs/>
                <w:sz w:val="20"/>
                <w:szCs w:val="20"/>
              </w:rPr>
            </w:pPr>
            <w:r w:rsidRPr="00C83478">
              <w:rPr>
                <w:rFonts w:ascii="Arial" w:eastAsia="Times New Roman" w:hAnsi="Arial" w:cs="Arial"/>
                <w:b/>
                <w:bCs/>
                <w:sz w:val="20"/>
                <w:szCs w:val="20"/>
              </w:rPr>
              <w:lastRenderedPageBreak/>
              <w:t>Out of sample Error</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Deviation (MAD)</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0.8320</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Squared Error (MSE)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1.5584</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Root Mean of Squared Error (RMSE)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1.2484</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Percent Error (MAPE)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0.4043</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Symmetric Mean of Absolute Percent Error (sMAPE)</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0.4778</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b/>
                <w:bCs/>
                <w:sz w:val="20"/>
                <w:szCs w:val="20"/>
              </w:rPr>
            </w:pPr>
            <w:r w:rsidRPr="00C83478">
              <w:rPr>
                <w:rFonts w:ascii="Arial" w:eastAsia="Times New Roman" w:hAnsi="Arial" w:cs="Arial"/>
                <w:b/>
                <w:bCs/>
                <w:sz w:val="20"/>
                <w:szCs w:val="20"/>
              </w:rPr>
              <w:t>Parameter</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alpha</w:t>
            </w:r>
          </w:p>
        </w:tc>
        <w:tc>
          <w:tcPr>
            <w:tcW w:w="1960"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0.5000</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0"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bl>
    <w:p w:rsidR="00C83478" w:rsidRDefault="00C83478">
      <w:pPr>
        <w:rPr>
          <w:lang w:eastAsia="zh-CN"/>
        </w:rPr>
      </w:pPr>
    </w:p>
    <w:p w:rsidR="00C83478" w:rsidRDefault="00C83478">
      <w:pPr>
        <w:rPr>
          <w:lang w:eastAsia="zh-CN"/>
        </w:rPr>
      </w:pPr>
      <w:r>
        <w:rPr>
          <w:lang w:eastAsia="zh-CN"/>
        </w:rPr>
        <w:t>α=0.8</w:t>
      </w:r>
    </w:p>
    <w:tbl>
      <w:tblPr>
        <w:tblW w:w="6640" w:type="dxa"/>
        <w:tblLook w:val="04A0" w:firstRow="1" w:lastRow="0" w:firstColumn="1" w:lastColumn="0" w:noHBand="0" w:noVBand="1"/>
      </w:tblPr>
      <w:tblGrid>
        <w:gridCol w:w="4672"/>
        <w:gridCol w:w="1968"/>
      </w:tblGrid>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Total Observations</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jc w:val="right"/>
              <w:rPr>
                <w:rFonts w:ascii="Arial" w:eastAsia="Times New Roman" w:hAnsi="Arial" w:cs="Arial"/>
                <w:sz w:val="20"/>
                <w:szCs w:val="20"/>
              </w:rPr>
            </w:pPr>
            <w:r w:rsidRPr="00C83478">
              <w:rPr>
                <w:rFonts w:ascii="Arial" w:eastAsia="Times New Roman" w:hAnsi="Arial" w:cs="Arial"/>
                <w:sz w:val="20"/>
                <w:szCs w:val="20"/>
              </w:rPr>
              <w:t>53</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Holdout</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jc w:val="right"/>
              <w:rPr>
                <w:rFonts w:ascii="Arial" w:eastAsia="Times New Roman" w:hAnsi="Arial" w:cs="Arial"/>
                <w:sz w:val="20"/>
                <w:szCs w:val="20"/>
              </w:rPr>
            </w:pPr>
            <w:r w:rsidRPr="00C83478">
              <w:rPr>
                <w:rFonts w:ascii="Arial" w:eastAsia="Times New Roman" w:hAnsi="Arial" w:cs="Arial"/>
                <w:sz w:val="20"/>
                <w:szCs w:val="20"/>
              </w:rPr>
              <w:t>15</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Forecast Horizon</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jc w:val="right"/>
              <w:rPr>
                <w:rFonts w:ascii="Arial" w:eastAsia="Times New Roman" w:hAnsi="Arial" w:cs="Arial"/>
                <w:sz w:val="20"/>
                <w:szCs w:val="20"/>
              </w:rPr>
            </w:pPr>
            <w:r w:rsidRPr="00C83478">
              <w:rPr>
                <w:rFonts w:ascii="Arial" w:eastAsia="Times New Roman" w:hAnsi="Arial" w:cs="Arial"/>
                <w:sz w:val="20"/>
                <w:szCs w:val="20"/>
              </w:rPr>
              <w:t>10</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b/>
                <w:bCs/>
                <w:sz w:val="20"/>
                <w:szCs w:val="20"/>
              </w:rPr>
            </w:pPr>
            <w:r w:rsidRPr="00C83478">
              <w:rPr>
                <w:rFonts w:ascii="Arial" w:eastAsia="Times New Roman" w:hAnsi="Arial" w:cs="Arial"/>
                <w:b/>
                <w:bCs/>
                <w:sz w:val="20"/>
                <w:szCs w:val="20"/>
              </w:rPr>
              <w:t>In sample Error</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Deviation (MAD)</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1.4407</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Squared Error (MSE)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3.8691</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Root Mean of Squared Error (RMSE)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1.9670</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Percent Error (MAPE)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0.3097</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Symmetric Mean of Absolute Percent Error (sMAPE)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0.2924</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b/>
                <w:bCs/>
                <w:sz w:val="20"/>
                <w:szCs w:val="20"/>
              </w:rPr>
            </w:pPr>
            <w:r w:rsidRPr="00C83478">
              <w:rPr>
                <w:rFonts w:ascii="Arial" w:eastAsia="Times New Roman" w:hAnsi="Arial" w:cs="Arial"/>
                <w:b/>
                <w:bCs/>
                <w:sz w:val="20"/>
                <w:szCs w:val="20"/>
              </w:rPr>
              <w:t>Out of sample Error</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Deviation (MAD)</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0.9715</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Squared Error (MSE)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1.8532</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Root Mean of Squared Error (RMSE)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1.3613</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Mean of Absolute Percent Error (MAPE)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0.3626</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Symmetric Mean of Absolute Percent Error (sMAPE)</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0.5694</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b/>
                <w:bCs/>
                <w:sz w:val="20"/>
                <w:szCs w:val="20"/>
              </w:rPr>
            </w:pPr>
            <w:r w:rsidRPr="00C83478">
              <w:rPr>
                <w:rFonts w:ascii="Arial" w:eastAsia="Times New Roman" w:hAnsi="Arial" w:cs="Arial"/>
                <w:b/>
                <w:bCs/>
                <w:sz w:val="20"/>
                <w:szCs w:val="20"/>
              </w:rPr>
              <w:t>Parameter</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rPr>
                <w:rFonts w:ascii="Arial" w:hAnsi="Arial" w:cs="Arial"/>
                <w:color w:val="000000"/>
                <w:sz w:val="20"/>
                <w:szCs w:val="20"/>
              </w:rPr>
            </w:pPr>
            <w:r>
              <w:rPr>
                <w:rFonts w:ascii="Arial" w:hAnsi="Arial" w:cs="Arial"/>
                <w:color w:val="000000"/>
                <w:sz w:val="20"/>
                <w:szCs w:val="20"/>
              </w:rPr>
              <w:t> </w:t>
            </w:r>
          </w:p>
        </w:tc>
      </w:tr>
      <w:tr w:rsidR="00CF17AC" w:rsidRPr="00C83478" w:rsidTr="00CF17AC">
        <w:trPr>
          <w:trHeight w:val="255"/>
        </w:trPr>
        <w:tc>
          <w:tcPr>
            <w:tcW w:w="4672" w:type="dxa"/>
            <w:tcBorders>
              <w:top w:val="nil"/>
              <w:left w:val="single" w:sz="12" w:space="0" w:color="000000"/>
              <w:bottom w:val="nil"/>
              <w:right w:val="nil"/>
            </w:tcBorders>
            <w:shd w:val="clear" w:color="auto" w:fill="auto"/>
            <w:noWrap/>
            <w:vAlign w:val="bottom"/>
            <w:hideMark/>
          </w:tcPr>
          <w:p w:rsidR="00CF17AC" w:rsidRPr="00C83478" w:rsidRDefault="00CF17AC" w:rsidP="00CF17AC">
            <w:pPr>
              <w:spacing w:line="240" w:lineRule="auto"/>
              <w:rPr>
                <w:rFonts w:ascii="Arial" w:eastAsia="Times New Roman" w:hAnsi="Arial" w:cs="Arial"/>
                <w:sz w:val="20"/>
                <w:szCs w:val="20"/>
              </w:rPr>
            </w:pPr>
            <w:r w:rsidRPr="00C83478">
              <w:rPr>
                <w:rFonts w:ascii="Arial" w:eastAsia="Times New Roman" w:hAnsi="Arial" w:cs="Arial"/>
                <w:sz w:val="20"/>
                <w:szCs w:val="20"/>
              </w:rPr>
              <w:t>alpha</w:t>
            </w:r>
          </w:p>
        </w:tc>
        <w:tc>
          <w:tcPr>
            <w:tcW w:w="1968" w:type="dxa"/>
            <w:tcBorders>
              <w:top w:val="nil"/>
              <w:left w:val="nil"/>
              <w:bottom w:val="nil"/>
              <w:right w:val="single" w:sz="12" w:space="0" w:color="000000"/>
            </w:tcBorders>
            <w:shd w:val="clear" w:color="auto" w:fill="auto"/>
            <w:noWrap/>
            <w:vAlign w:val="center"/>
            <w:hideMark/>
          </w:tcPr>
          <w:p w:rsidR="00CF17AC" w:rsidRDefault="00CF17AC" w:rsidP="00CF17AC">
            <w:pPr>
              <w:jc w:val="right"/>
              <w:rPr>
                <w:rFonts w:ascii="Arial" w:hAnsi="Arial" w:cs="Arial"/>
                <w:color w:val="000000"/>
                <w:sz w:val="20"/>
                <w:szCs w:val="20"/>
              </w:rPr>
            </w:pPr>
            <w:r>
              <w:rPr>
                <w:rFonts w:ascii="Arial" w:hAnsi="Arial" w:cs="Arial"/>
                <w:color w:val="000000"/>
                <w:sz w:val="20"/>
                <w:szCs w:val="20"/>
              </w:rPr>
              <w:t>0.8000</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r w:rsidR="00C83478" w:rsidRPr="00C83478" w:rsidTr="00C83478">
        <w:trPr>
          <w:trHeight w:val="255"/>
        </w:trPr>
        <w:tc>
          <w:tcPr>
            <w:tcW w:w="4672" w:type="dxa"/>
            <w:tcBorders>
              <w:top w:val="nil"/>
              <w:left w:val="single" w:sz="12" w:space="0" w:color="000000"/>
              <w:bottom w:val="nil"/>
              <w:right w:val="nil"/>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C83478" w:rsidRPr="00C83478" w:rsidRDefault="00C83478" w:rsidP="00C83478">
            <w:pPr>
              <w:spacing w:line="240" w:lineRule="auto"/>
              <w:rPr>
                <w:rFonts w:ascii="Arial" w:eastAsia="Times New Roman" w:hAnsi="Arial" w:cs="Arial"/>
                <w:sz w:val="20"/>
                <w:szCs w:val="20"/>
              </w:rPr>
            </w:pPr>
            <w:r w:rsidRPr="00C83478">
              <w:rPr>
                <w:rFonts w:ascii="Arial" w:eastAsia="Times New Roman" w:hAnsi="Arial" w:cs="Arial"/>
                <w:sz w:val="20"/>
                <w:szCs w:val="20"/>
              </w:rPr>
              <w:t> </w:t>
            </w:r>
          </w:p>
        </w:tc>
      </w:tr>
    </w:tbl>
    <w:p w:rsidR="00C83478" w:rsidRDefault="00C83478">
      <w:pPr>
        <w:rPr>
          <w:lang w:eastAsia="zh-CN"/>
        </w:rPr>
      </w:pPr>
    </w:p>
    <w:p w:rsidR="00FB4864" w:rsidRPr="00CF17AC" w:rsidRDefault="00FB4864">
      <w:pPr>
        <w:rPr>
          <w:sz w:val="22"/>
          <w:lang w:eastAsia="zh-CN"/>
        </w:rPr>
      </w:pPr>
      <w:r w:rsidRPr="00CF17AC">
        <w:rPr>
          <w:sz w:val="22"/>
          <w:lang w:eastAsia="zh-CN"/>
        </w:rPr>
        <w:t>Statistics apply to the hold-out sample</w:t>
      </w:r>
    </w:p>
    <w:tbl>
      <w:tblPr>
        <w:tblStyle w:val="TableGrid"/>
        <w:tblW w:w="0" w:type="auto"/>
        <w:tblInd w:w="-5" w:type="dxa"/>
        <w:tblLook w:val="04A0" w:firstRow="1" w:lastRow="0" w:firstColumn="1" w:lastColumn="0" w:noHBand="0" w:noVBand="1"/>
      </w:tblPr>
      <w:tblGrid>
        <w:gridCol w:w="1293"/>
        <w:gridCol w:w="1260"/>
        <w:gridCol w:w="1170"/>
        <w:gridCol w:w="1302"/>
        <w:gridCol w:w="1302"/>
        <w:gridCol w:w="1302"/>
      </w:tblGrid>
      <w:tr w:rsidR="00C83478" w:rsidTr="00C83478">
        <w:trPr>
          <w:trHeight w:val="281"/>
        </w:trPr>
        <w:tc>
          <w:tcPr>
            <w:tcW w:w="1293" w:type="dxa"/>
          </w:tcPr>
          <w:p w:rsidR="00C83478" w:rsidRDefault="00C83478" w:rsidP="00C83478">
            <w:r>
              <w:lastRenderedPageBreak/>
              <w:t>Criterion</w:t>
            </w:r>
          </w:p>
        </w:tc>
        <w:tc>
          <w:tcPr>
            <w:tcW w:w="1260" w:type="dxa"/>
          </w:tcPr>
          <w:p w:rsidR="00C83478" w:rsidRDefault="00C83478" w:rsidP="00C83478">
            <w:r>
              <w:t>α =0.2</w:t>
            </w:r>
          </w:p>
        </w:tc>
        <w:tc>
          <w:tcPr>
            <w:tcW w:w="1170" w:type="dxa"/>
          </w:tcPr>
          <w:p w:rsidR="00C83478" w:rsidRDefault="00C83478" w:rsidP="00C83478">
            <w:r>
              <w:t>α=0.5</w:t>
            </w:r>
          </w:p>
        </w:tc>
        <w:tc>
          <w:tcPr>
            <w:tcW w:w="1302" w:type="dxa"/>
          </w:tcPr>
          <w:p w:rsidR="00C83478" w:rsidRDefault="00C83478" w:rsidP="00C83478">
            <w:r>
              <w:t>α=0.8</w:t>
            </w:r>
          </w:p>
        </w:tc>
        <w:tc>
          <w:tcPr>
            <w:tcW w:w="1302" w:type="dxa"/>
          </w:tcPr>
          <w:p w:rsidR="00C83478" w:rsidRDefault="00C83478" w:rsidP="00C83478">
            <w:r>
              <w:t>MA(3)</w:t>
            </w:r>
          </w:p>
        </w:tc>
        <w:tc>
          <w:tcPr>
            <w:tcW w:w="1302" w:type="dxa"/>
          </w:tcPr>
          <w:p w:rsidR="00C83478" w:rsidRDefault="00C83478" w:rsidP="00C83478">
            <w:r>
              <w:t>MA(7)</w:t>
            </w:r>
          </w:p>
        </w:tc>
      </w:tr>
      <w:tr w:rsidR="00C83478" w:rsidTr="00C83478">
        <w:trPr>
          <w:trHeight w:val="281"/>
        </w:trPr>
        <w:tc>
          <w:tcPr>
            <w:tcW w:w="1293" w:type="dxa"/>
          </w:tcPr>
          <w:p w:rsidR="00C83478" w:rsidRDefault="00C83478" w:rsidP="00C83478">
            <w:r>
              <w:t>MAE</w:t>
            </w:r>
          </w:p>
        </w:tc>
        <w:tc>
          <w:tcPr>
            <w:tcW w:w="1260" w:type="dxa"/>
          </w:tcPr>
          <w:p w:rsidR="00C83478" w:rsidRDefault="00C83478" w:rsidP="00C83478">
            <w:pPr>
              <w:rPr>
                <w:lang w:eastAsia="zh-CN"/>
              </w:rPr>
            </w:pPr>
            <w:r>
              <w:t>0.</w:t>
            </w:r>
            <w:r>
              <w:rPr>
                <w:rFonts w:hint="eastAsia"/>
                <w:lang w:eastAsia="zh-CN"/>
              </w:rPr>
              <w:t>86</w:t>
            </w:r>
          </w:p>
        </w:tc>
        <w:tc>
          <w:tcPr>
            <w:tcW w:w="1170" w:type="dxa"/>
          </w:tcPr>
          <w:p w:rsidR="00C83478" w:rsidRDefault="00C83478" w:rsidP="00C83478">
            <w:pPr>
              <w:rPr>
                <w:lang w:eastAsia="zh-CN"/>
              </w:rPr>
            </w:pPr>
            <w:r>
              <w:rPr>
                <w:rFonts w:hint="eastAsia"/>
                <w:lang w:eastAsia="zh-CN"/>
              </w:rPr>
              <w:t>0.83</w:t>
            </w:r>
          </w:p>
        </w:tc>
        <w:tc>
          <w:tcPr>
            <w:tcW w:w="1302" w:type="dxa"/>
          </w:tcPr>
          <w:p w:rsidR="00C83478" w:rsidRDefault="00C83478" w:rsidP="00C83478">
            <w:pPr>
              <w:rPr>
                <w:lang w:eastAsia="zh-CN"/>
              </w:rPr>
            </w:pPr>
            <w:r>
              <w:rPr>
                <w:rFonts w:hint="eastAsia"/>
                <w:lang w:eastAsia="zh-CN"/>
              </w:rPr>
              <w:t>0.97</w:t>
            </w:r>
          </w:p>
        </w:tc>
        <w:tc>
          <w:tcPr>
            <w:tcW w:w="1302" w:type="dxa"/>
          </w:tcPr>
          <w:p w:rsidR="00C83478" w:rsidRDefault="00C83478" w:rsidP="00C83478">
            <w:pPr>
              <w:rPr>
                <w:lang w:eastAsia="zh-CN"/>
              </w:rPr>
            </w:pPr>
            <w:r>
              <w:t>0.95</w:t>
            </w:r>
          </w:p>
        </w:tc>
        <w:tc>
          <w:tcPr>
            <w:tcW w:w="1302" w:type="dxa"/>
          </w:tcPr>
          <w:p w:rsidR="00C83478" w:rsidRDefault="00C83478" w:rsidP="00C83478">
            <w:pPr>
              <w:rPr>
                <w:lang w:eastAsia="zh-CN"/>
              </w:rPr>
            </w:pPr>
            <w:r>
              <w:t>0.87</w:t>
            </w:r>
          </w:p>
        </w:tc>
      </w:tr>
      <w:tr w:rsidR="00C83478" w:rsidTr="00C83478">
        <w:trPr>
          <w:trHeight w:val="296"/>
        </w:trPr>
        <w:tc>
          <w:tcPr>
            <w:tcW w:w="1293" w:type="dxa"/>
          </w:tcPr>
          <w:p w:rsidR="00C83478" w:rsidRDefault="00C83478" w:rsidP="00C83478">
            <w:r>
              <w:t>RMSE</w:t>
            </w:r>
          </w:p>
        </w:tc>
        <w:tc>
          <w:tcPr>
            <w:tcW w:w="1260" w:type="dxa"/>
          </w:tcPr>
          <w:p w:rsidR="00C83478" w:rsidRDefault="00C83478" w:rsidP="00C83478">
            <w:pPr>
              <w:rPr>
                <w:lang w:eastAsia="zh-CN"/>
              </w:rPr>
            </w:pPr>
            <w:r>
              <w:t>1.20</w:t>
            </w:r>
          </w:p>
        </w:tc>
        <w:tc>
          <w:tcPr>
            <w:tcW w:w="1170" w:type="dxa"/>
          </w:tcPr>
          <w:p w:rsidR="00C83478" w:rsidRDefault="00C83478" w:rsidP="00C83478">
            <w:pPr>
              <w:rPr>
                <w:lang w:eastAsia="zh-CN"/>
              </w:rPr>
            </w:pPr>
            <w:r>
              <w:t>1.25</w:t>
            </w:r>
          </w:p>
        </w:tc>
        <w:tc>
          <w:tcPr>
            <w:tcW w:w="1302" w:type="dxa"/>
          </w:tcPr>
          <w:p w:rsidR="00C83478" w:rsidRDefault="00C83478" w:rsidP="00C83478">
            <w:pPr>
              <w:rPr>
                <w:lang w:eastAsia="zh-CN"/>
              </w:rPr>
            </w:pPr>
            <w:r>
              <w:rPr>
                <w:lang w:eastAsia="zh-CN"/>
              </w:rPr>
              <w:t>1.36</w:t>
            </w:r>
          </w:p>
        </w:tc>
        <w:tc>
          <w:tcPr>
            <w:tcW w:w="1302" w:type="dxa"/>
          </w:tcPr>
          <w:p w:rsidR="00C83478" w:rsidRDefault="00C83478" w:rsidP="00C83478">
            <w:pPr>
              <w:rPr>
                <w:lang w:eastAsia="zh-CN"/>
              </w:rPr>
            </w:pPr>
            <w:r>
              <w:rPr>
                <w:lang w:eastAsia="zh-CN"/>
              </w:rPr>
              <w:t>1.26</w:t>
            </w:r>
          </w:p>
        </w:tc>
        <w:tc>
          <w:tcPr>
            <w:tcW w:w="1302" w:type="dxa"/>
          </w:tcPr>
          <w:p w:rsidR="00C83478" w:rsidRDefault="00C83478" w:rsidP="00C83478">
            <w:r>
              <w:t>1.15</w:t>
            </w:r>
          </w:p>
        </w:tc>
      </w:tr>
    </w:tbl>
    <w:p w:rsidR="00C83478" w:rsidRDefault="00C83478">
      <w:pPr>
        <w:rPr>
          <w:lang w:eastAsia="zh-CN"/>
        </w:rPr>
      </w:pPr>
    </w:p>
    <w:p w:rsidR="00C83478" w:rsidRPr="00CF17AC" w:rsidRDefault="00C83478" w:rsidP="00C83478">
      <w:pPr>
        <w:rPr>
          <w:sz w:val="22"/>
          <w:lang w:eastAsia="zh-CN"/>
        </w:rPr>
      </w:pPr>
      <w:r w:rsidRPr="00CF17AC">
        <w:rPr>
          <w:sz w:val="22"/>
        </w:rPr>
        <w:t>In this case the MA(</w:t>
      </w:r>
      <w:r w:rsidRPr="00CF17AC">
        <w:rPr>
          <w:rFonts w:hint="eastAsia"/>
          <w:sz w:val="22"/>
          <w:lang w:eastAsia="zh-CN"/>
        </w:rPr>
        <w:t>7) results</w:t>
      </w:r>
      <w:r w:rsidRPr="00CF17AC">
        <w:rPr>
          <w:sz w:val="22"/>
          <w:lang w:eastAsia="zh-CN"/>
        </w:rPr>
        <w:t xml:space="preserve"> are best on RMSE, but </w:t>
      </w:r>
      <w:r w:rsidRPr="00CF17AC">
        <w:rPr>
          <w:sz w:val="22"/>
        </w:rPr>
        <w:t>α =0.5 on MAE.</w:t>
      </w:r>
    </w:p>
    <w:p w:rsidR="00EA7FCF" w:rsidRDefault="00CD619E" w:rsidP="00771AC9">
      <w:pPr>
        <w:pStyle w:val="Heading3"/>
        <w:rPr>
          <w:lang w:eastAsia="zh-CN"/>
        </w:rPr>
      </w:pPr>
      <w:r>
        <w:t>3</w:t>
      </w:r>
      <w:r w:rsidR="00694B5F">
        <w:t>.6</w:t>
      </w:r>
      <w:r w:rsidR="009F3870">
        <w:t xml:space="preserve"> </w:t>
      </w:r>
    </w:p>
    <w:tbl>
      <w:tblPr>
        <w:tblW w:w="5975" w:type="dxa"/>
        <w:tblLook w:val="04A0" w:firstRow="1" w:lastRow="0" w:firstColumn="1" w:lastColumn="0" w:noHBand="0" w:noVBand="1"/>
      </w:tblPr>
      <w:tblGrid>
        <w:gridCol w:w="4924"/>
        <w:gridCol w:w="1051"/>
      </w:tblGrid>
      <w:tr w:rsidR="002E1261" w:rsidRPr="002E1261" w:rsidTr="00771AC9">
        <w:trPr>
          <w:trHeight w:val="270"/>
        </w:trPr>
        <w:tc>
          <w:tcPr>
            <w:tcW w:w="5975"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2E1261" w:rsidRPr="002E1261" w:rsidRDefault="002E1261" w:rsidP="002E1261">
            <w:pPr>
              <w:spacing w:line="240" w:lineRule="auto"/>
              <w:rPr>
                <w:rFonts w:ascii="Arial" w:eastAsia="Times New Roman" w:hAnsi="Arial" w:cs="Arial"/>
                <w:b/>
                <w:bCs/>
                <w:sz w:val="20"/>
                <w:szCs w:val="20"/>
              </w:rPr>
            </w:pPr>
            <w:r w:rsidRPr="002E1261">
              <w:rPr>
                <w:rFonts w:ascii="Arial" w:eastAsia="Times New Roman" w:hAnsi="Arial" w:cs="Arial"/>
                <w:b/>
                <w:bCs/>
                <w:sz w:val="20"/>
                <w:szCs w:val="20"/>
              </w:rPr>
              <w:t>Forecasting Information for Single Exponential smoothing</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Total Observations</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jc w:val="right"/>
              <w:rPr>
                <w:rFonts w:ascii="Arial" w:eastAsia="Times New Roman" w:hAnsi="Arial" w:cs="Arial"/>
                <w:sz w:val="20"/>
                <w:szCs w:val="20"/>
              </w:rPr>
            </w:pPr>
            <w:r w:rsidRPr="002E1261">
              <w:rPr>
                <w:rFonts w:ascii="Arial" w:eastAsia="Times New Roman" w:hAnsi="Arial" w:cs="Arial"/>
                <w:sz w:val="20"/>
                <w:szCs w:val="20"/>
              </w:rPr>
              <w:t>53</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Holdout</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jc w:val="right"/>
              <w:rPr>
                <w:rFonts w:ascii="Arial" w:eastAsia="Times New Roman" w:hAnsi="Arial" w:cs="Arial"/>
                <w:sz w:val="20"/>
                <w:szCs w:val="20"/>
              </w:rPr>
            </w:pPr>
            <w:r w:rsidRPr="002E1261">
              <w:rPr>
                <w:rFonts w:ascii="Arial" w:eastAsia="Times New Roman" w:hAnsi="Arial" w:cs="Arial"/>
                <w:sz w:val="20"/>
                <w:szCs w:val="20"/>
              </w:rPr>
              <w:t>15</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Forecast Horizon</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jc w:val="right"/>
              <w:rPr>
                <w:rFonts w:ascii="Arial" w:eastAsia="Times New Roman" w:hAnsi="Arial" w:cs="Arial"/>
                <w:sz w:val="20"/>
                <w:szCs w:val="20"/>
              </w:rPr>
            </w:pPr>
            <w:r w:rsidRPr="002E1261">
              <w:rPr>
                <w:rFonts w:ascii="Arial" w:eastAsia="Times New Roman" w:hAnsi="Arial" w:cs="Arial"/>
                <w:sz w:val="20"/>
                <w:szCs w:val="20"/>
              </w:rPr>
              <w:t>10</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b/>
                <w:bCs/>
                <w:sz w:val="20"/>
                <w:szCs w:val="20"/>
              </w:rPr>
            </w:pPr>
            <w:r w:rsidRPr="002E1261">
              <w:rPr>
                <w:rFonts w:ascii="Arial" w:eastAsia="Times New Roman" w:hAnsi="Arial" w:cs="Arial"/>
                <w:b/>
                <w:bCs/>
                <w:sz w:val="20"/>
                <w:szCs w:val="20"/>
              </w:rPr>
              <w:t>In sample Error</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1.4113</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3.4422</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1.8553</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0.2990</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0.2901</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b/>
                <w:bCs/>
                <w:sz w:val="20"/>
                <w:szCs w:val="20"/>
              </w:rPr>
            </w:pPr>
            <w:r w:rsidRPr="002E1261">
              <w:rPr>
                <w:rFonts w:ascii="Arial" w:eastAsia="Times New Roman" w:hAnsi="Arial" w:cs="Arial"/>
                <w:b/>
                <w:bCs/>
                <w:sz w:val="20"/>
                <w:szCs w:val="20"/>
              </w:rPr>
              <w:t>Out of sample Error</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Mean of Absolute Deviation (MAD)</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1.0789</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Mean of Squared Error (MSE)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2.1226</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Root Mean of Squared Error (RMSE)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1.4569</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Mean of Absolute Percent Error (MAPE)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0.3794</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Symmetric Mean of Absolute Percent Error (sMAPE)</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0.7132</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b/>
                <w:bCs/>
                <w:sz w:val="20"/>
                <w:szCs w:val="20"/>
              </w:rPr>
            </w:pPr>
            <w:r w:rsidRPr="002E1261">
              <w:rPr>
                <w:rFonts w:ascii="Arial" w:eastAsia="Times New Roman" w:hAnsi="Arial" w:cs="Arial"/>
                <w:b/>
                <w:bCs/>
                <w:sz w:val="20"/>
                <w:szCs w:val="20"/>
              </w:rPr>
              <w:t>Parameter</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771AC9" w:rsidRPr="002E1261" w:rsidRDefault="00771AC9" w:rsidP="00771AC9">
            <w:pPr>
              <w:spacing w:line="240" w:lineRule="auto"/>
              <w:rPr>
                <w:rFonts w:ascii="Arial" w:eastAsia="Times New Roman" w:hAnsi="Arial" w:cs="Arial"/>
                <w:sz w:val="20"/>
                <w:szCs w:val="20"/>
              </w:rPr>
            </w:pPr>
            <w:r w:rsidRPr="002E1261">
              <w:rPr>
                <w:rFonts w:ascii="Arial" w:eastAsia="Times New Roman" w:hAnsi="Arial" w:cs="Arial"/>
                <w:sz w:val="20"/>
                <w:szCs w:val="20"/>
              </w:rPr>
              <w:t>alpha</w:t>
            </w:r>
          </w:p>
        </w:tc>
        <w:tc>
          <w:tcPr>
            <w:tcW w:w="1051"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1.0000</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r>
      <w:tr w:rsidR="002E1261" w:rsidRPr="002E1261" w:rsidTr="00771AC9">
        <w:trPr>
          <w:trHeight w:val="255"/>
        </w:trPr>
        <w:tc>
          <w:tcPr>
            <w:tcW w:w="4924" w:type="dxa"/>
            <w:tcBorders>
              <w:top w:val="nil"/>
              <w:left w:val="single" w:sz="12" w:space="0" w:color="000000"/>
              <w:bottom w:val="nil"/>
              <w:right w:val="nil"/>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c>
          <w:tcPr>
            <w:tcW w:w="1051" w:type="dxa"/>
            <w:tcBorders>
              <w:top w:val="nil"/>
              <w:left w:val="nil"/>
              <w:bottom w:val="nil"/>
              <w:right w:val="single" w:sz="12" w:space="0" w:color="000000"/>
            </w:tcBorders>
            <w:shd w:val="clear" w:color="auto" w:fill="auto"/>
            <w:noWrap/>
            <w:vAlign w:val="bottom"/>
            <w:hideMark/>
          </w:tcPr>
          <w:p w:rsidR="002E1261" w:rsidRPr="002E1261" w:rsidRDefault="002E1261" w:rsidP="002E1261">
            <w:pPr>
              <w:spacing w:line="240" w:lineRule="auto"/>
              <w:rPr>
                <w:rFonts w:ascii="Arial" w:eastAsia="Times New Roman" w:hAnsi="Arial" w:cs="Arial"/>
                <w:sz w:val="20"/>
                <w:szCs w:val="20"/>
              </w:rPr>
            </w:pPr>
            <w:r w:rsidRPr="002E1261">
              <w:rPr>
                <w:rFonts w:ascii="Arial" w:eastAsia="Times New Roman" w:hAnsi="Arial" w:cs="Arial"/>
                <w:sz w:val="20"/>
                <w:szCs w:val="20"/>
              </w:rPr>
              <w:t> </w:t>
            </w:r>
          </w:p>
        </w:tc>
      </w:tr>
    </w:tbl>
    <w:p w:rsidR="00FA44F0" w:rsidRDefault="00FA44F0" w:rsidP="009F3870">
      <w:pPr>
        <w:rPr>
          <w:lang w:eastAsia="zh-CN"/>
        </w:rPr>
      </w:pPr>
    </w:p>
    <w:p w:rsidR="00D80048" w:rsidRPr="00771AC9" w:rsidRDefault="00C83478" w:rsidP="008C01E7">
      <w:pPr>
        <w:rPr>
          <w:sz w:val="22"/>
          <w:lang w:eastAsia="zh-CN"/>
        </w:rPr>
      </w:pPr>
      <w:r w:rsidRPr="00771AC9">
        <w:rPr>
          <w:sz w:val="22"/>
        </w:rPr>
        <w:t>T</w:t>
      </w:r>
      <w:r w:rsidR="009F3870" w:rsidRPr="00771AC9">
        <w:rPr>
          <w:sz w:val="22"/>
        </w:rPr>
        <w:t xml:space="preserve">he SES </w:t>
      </w:r>
      <w:r w:rsidR="00CD619E" w:rsidRPr="00771AC9">
        <w:rPr>
          <w:sz w:val="22"/>
        </w:rPr>
        <w:t>macro g</w:t>
      </w:r>
      <w:r w:rsidR="00FA44F0" w:rsidRPr="00771AC9">
        <w:rPr>
          <w:sz w:val="22"/>
        </w:rPr>
        <w:t xml:space="preserve">ives the optimal value </w:t>
      </w:r>
      <w:r w:rsidR="002E1261" w:rsidRPr="00771AC9">
        <w:rPr>
          <w:sz w:val="22"/>
        </w:rPr>
        <w:t xml:space="preserve">on the boundary as </w:t>
      </w:r>
      <w:r w:rsidR="00FA44F0" w:rsidRPr="00771AC9">
        <w:rPr>
          <w:sz w:val="22"/>
        </w:rPr>
        <w:t xml:space="preserve">α = </w:t>
      </w:r>
      <w:r w:rsidR="002E1261" w:rsidRPr="00771AC9">
        <w:rPr>
          <w:sz w:val="22"/>
        </w:rPr>
        <w:t>1.00</w:t>
      </w:r>
      <w:r w:rsidR="00FA44F0" w:rsidRPr="00771AC9">
        <w:rPr>
          <w:rFonts w:hint="eastAsia"/>
          <w:sz w:val="22"/>
          <w:lang w:eastAsia="zh-CN"/>
        </w:rPr>
        <w:t xml:space="preserve">. </w:t>
      </w:r>
      <w:r w:rsidR="008C01E7" w:rsidRPr="00771AC9">
        <w:rPr>
          <w:sz w:val="22"/>
          <w:lang w:eastAsia="zh-CN"/>
        </w:rPr>
        <w:t xml:space="preserve">This value leads to </w:t>
      </w:r>
      <w:r w:rsidR="002E1261" w:rsidRPr="00771AC9">
        <w:rPr>
          <w:sz w:val="22"/>
          <w:lang w:eastAsia="zh-CN"/>
        </w:rPr>
        <w:t>inferior</w:t>
      </w:r>
      <w:r w:rsidR="008C01E7" w:rsidRPr="00771AC9">
        <w:rPr>
          <w:sz w:val="22"/>
          <w:lang w:eastAsia="zh-CN"/>
        </w:rPr>
        <w:t xml:space="preserve"> out-of-sample performance. </w:t>
      </w:r>
      <w:r w:rsidR="00C54673" w:rsidRPr="00771AC9">
        <w:rPr>
          <w:sz w:val="22"/>
          <w:lang w:eastAsia="zh-CN"/>
        </w:rPr>
        <w:t>The outlier associated with the recession is the main reason for this anomalous result.</w:t>
      </w:r>
    </w:p>
    <w:p w:rsidR="008C01E7" w:rsidRDefault="008C01E7">
      <w:pPr>
        <w:rPr>
          <w:lang w:eastAsia="zh-CN"/>
        </w:rPr>
      </w:pPr>
      <w:r>
        <w:rPr>
          <w:lang w:eastAsia="zh-CN"/>
        </w:rPr>
        <w:br w:type="page"/>
      </w:r>
    </w:p>
    <w:p w:rsidR="00694B5F" w:rsidRDefault="00694B5F" w:rsidP="0094418E"/>
    <w:p w:rsidR="00F55E23" w:rsidRDefault="00CD619E" w:rsidP="00771AC9">
      <w:pPr>
        <w:pStyle w:val="Heading3"/>
        <w:rPr>
          <w:lang w:eastAsia="zh-CN"/>
        </w:rPr>
      </w:pPr>
      <w:r>
        <w:t>3</w:t>
      </w:r>
      <w:r w:rsidR="009B3A8C">
        <w:t>.7</w:t>
      </w:r>
      <w:r w:rsidR="00804213">
        <w:t xml:space="preserve"> </w:t>
      </w:r>
      <w:r w:rsidR="000266F1">
        <w:t>and 3.8</w:t>
      </w:r>
    </w:p>
    <w:p w:rsidR="00FA65AF" w:rsidRDefault="00FA65AF" w:rsidP="00804213">
      <w:r>
        <w:rPr>
          <w:rFonts w:hint="eastAsia"/>
          <w:lang w:eastAsia="zh-CN"/>
        </w:rPr>
        <w:t>a)</w:t>
      </w:r>
      <w:r w:rsidRPr="00FA65AF">
        <w:t xml:space="preserve"> </w:t>
      </w:r>
      <w:r>
        <w:t>α =0.2</w:t>
      </w:r>
    </w:p>
    <w:tbl>
      <w:tblPr>
        <w:tblW w:w="6056" w:type="dxa"/>
        <w:tblLook w:val="04A0" w:firstRow="1" w:lastRow="0" w:firstColumn="1" w:lastColumn="0" w:noHBand="0" w:noVBand="1"/>
      </w:tblPr>
      <w:tblGrid>
        <w:gridCol w:w="4672"/>
        <w:gridCol w:w="1384"/>
      </w:tblGrid>
      <w:tr w:rsidR="00B92C67" w:rsidRPr="00B92C67" w:rsidTr="00771AC9">
        <w:trPr>
          <w:trHeight w:val="270"/>
        </w:trPr>
        <w:tc>
          <w:tcPr>
            <w:tcW w:w="6056"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Forecasting Information for Single Exponential smoothing</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Total Observations</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38</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Holdout</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8</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Forecast Horizon</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10</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In sample Error</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8.6157</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152.0103</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Root Mean of Squared Error (RMSE)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12.3292</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0.2931</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0.3124</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Out of sample Error</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30.7436</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1150.3005</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Root Mean of Squared Error (RMSE)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33.9161</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0.3606</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0.4006</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Parameter</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alpha</w:t>
            </w:r>
          </w:p>
        </w:tc>
        <w:tc>
          <w:tcPr>
            <w:tcW w:w="1384"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0.2000</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384"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bl>
    <w:p w:rsidR="00FA65AF" w:rsidRDefault="00FA65AF" w:rsidP="00804213">
      <w:pPr>
        <w:rPr>
          <w:lang w:eastAsia="zh-CN"/>
        </w:rPr>
      </w:pPr>
    </w:p>
    <w:p w:rsidR="00FA65AF" w:rsidRDefault="00FA65AF" w:rsidP="00804213">
      <w:pPr>
        <w:rPr>
          <w:lang w:eastAsia="zh-CN"/>
        </w:rPr>
      </w:pPr>
      <w:r>
        <w:t>α =0.</w:t>
      </w:r>
      <w:r>
        <w:rPr>
          <w:rFonts w:hint="eastAsia"/>
          <w:lang w:eastAsia="zh-CN"/>
        </w:rPr>
        <w:t>5</w:t>
      </w:r>
    </w:p>
    <w:tbl>
      <w:tblPr>
        <w:tblW w:w="6007" w:type="dxa"/>
        <w:tblLook w:val="04A0" w:firstRow="1" w:lastRow="0" w:firstColumn="1" w:lastColumn="0" w:noHBand="0" w:noVBand="1"/>
      </w:tblPr>
      <w:tblGrid>
        <w:gridCol w:w="4734"/>
        <w:gridCol w:w="1273"/>
      </w:tblGrid>
      <w:tr w:rsidR="00B92C67" w:rsidRPr="00B92C67" w:rsidTr="00771AC9">
        <w:trPr>
          <w:trHeight w:val="270"/>
        </w:trPr>
        <w:tc>
          <w:tcPr>
            <w:tcW w:w="6007"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Forecasting Information for Single Exponential smoothing</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Total Observations</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38</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Holdout</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8</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Forecast Horizon</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10</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In sample Error</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6.3615</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77.2537</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lastRenderedPageBreak/>
              <w:t>Root Mean of Squared Error (RMSE)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8.7894</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0.2340</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0.2357</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Out of sample Error</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20.6603</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664.6315</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Root Mean of Squared Error (RMSE)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25.7804</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0.2793</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0.2541</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Parameter</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242396">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alpha</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0.5000</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bl>
    <w:p w:rsidR="00FA65AF" w:rsidRDefault="00FA65AF" w:rsidP="00804213">
      <w:pPr>
        <w:rPr>
          <w:lang w:eastAsia="zh-CN"/>
        </w:rPr>
      </w:pPr>
    </w:p>
    <w:p w:rsidR="00FA65AF" w:rsidRDefault="00FA65AF" w:rsidP="00804213">
      <w:pPr>
        <w:rPr>
          <w:lang w:eastAsia="zh-CN"/>
        </w:rPr>
      </w:pPr>
      <w:r>
        <w:t>α =0.</w:t>
      </w:r>
      <w:r>
        <w:rPr>
          <w:rFonts w:hint="eastAsia"/>
          <w:lang w:eastAsia="zh-CN"/>
        </w:rPr>
        <w:t>8</w:t>
      </w:r>
    </w:p>
    <w:tbl>
      <w:tblPr>
        <w:tblW w:w="6640" w:type="dxa"/>
        <w:tblLook w:val="04A0" w:firstRow="1" w:lastRow="0" w:firstColumn="1" w:lastColumn="0" w:noHBand="0" w:noVBand="1"/>
      </w:tblPr>
      <w:tblGrid>
        <w:gridCol w:w="4672"/>
        <w:gridCol w:w="1968"/>
      </w:tblGrid>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Total Observations</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38</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Holdout</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8</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Forecast Horizon</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10</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In sample Error</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5.5590</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49.2875</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Root Mean of Squared Error (RMSE)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7.0205</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0.2197</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0.2188</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Out of sample Error</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20.1229</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616.4563</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Root Mean of Squared Error (RMSE)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24.8285</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0.2824</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0.2467</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Parameter</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386E05">
        <w:trPr>
          <w:trHeight w:val="255"/>
        </w:trPr>
        <w:tc>
          <w:tcPr>
            <w:tcW w:w="4672"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lastRenderedPageBreak/>
              <w:t>alpha</w:t>
            </w:r>
          </w:p>
        </w:tc>
        <w:tc>
          <w:tcPr>
            <w:tcW w:w="1968"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0.8000</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B92C67">
        <w:trPr>
          <w:trHeight w:val="255"/>
        </w:trPr>
        <w:tc>
          <w:tcPr>
            <w:tcW w:w="4672"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968"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bl>
    <w:p w:rsidR="00FA65AF" w:rsidRDefault="00FA65AF" w:rsidP="00804213">
      <w:pPr>
        <w:rPr>
          <w:lang w:eastAsia="zh-CN"/>
        </w:rPr>
      </w:pPr>
    </w:p>
    <w:p w:rsidR="00FA65AF" w:rsidRDefault="00FA65AF" w:rsidP="00804213">
      <w:pPr>
        <w:rPr>
          <w:lang w:eastAsia="zh-CN"/>
        </w:rPr>
      </w:pPr>
      <w:r>
        <w:rPr>
          <w:rFonts w:hint="eastAsia"/>
          <w:lang w:eastAsia="zh-CN"/>
        </w:rPr>
        <w:t xml:space="preserve">b) </w:t>
      </w:r>
    </w:p>
    <w:p w:rsidR="00FA65AF" w:rsidRDefault="00FA65AF" w:rsidP="00804213">
      <w:pPr>
        <w:rPr>
          <w:lang w:eastAsia="zh-CN"/>
        </w:rPr>
      </w:pPr>
      <w:r>
        <w:rPr>
          <w:rFonts w:hint="eastAsia"/>
          <w:lang w:eastAsia="zh-CN"/>
        </w:rPr>
        <w:t xml:space="preserve">optimal </w:t>
      </w:r>
      <w:r>
        <w:t>α</w:t>
      </w:r>
    </w:p>
    <w:tbl>
      <w:tblPr>
        <w:tblW w:w="6007" w:type="dxa"/>
        <w:tblLook w:val="04A0" w:firstRow="1" w:lastRow="0" w:firstColumn="1" w:lastColumn="0" w:noHBand="0" w:noVBand="1"/>
      </w:tblPr>
      <w:tblGrid>
        <w:gridCol w:w="4734"/>
        <w:gridCol w:w="1273"/>
      </w:tblGrid>
      <w:tr w:rsidR="00B92C67" w:rsidRPr="00B92C67" w:rsidTr="00771AC9">
        <w:trPr>
          <w:trHeight w:val="270"/>
        </w:trPr>
        <w:tc>
          <w:tcPr>
            <w:tcW w:w="6007"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Forecasting Information for Single Exponential smoothing</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Total Observations</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38</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Holdout</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8</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Forecast Horizon</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jc w:val="right"/>
              <w:rPr>
                <w:rFonts w:ascii="Arial" w:eastAsia="Times New Roman" w:hAnsi="Arial" w:cs="Arial"/>
                <w:sz w:val="20"/>
                <w:szCs w:val="20"/>
              </w:rPr>
            </w:pPr>
            <w:r w:rsidRPr="00B92C67">
              <w:rPr>
                <w:rFonts w:ascii="Arial" w:eastAsia="Times New Roman" w:hAnsi="Arial" w:cs="Arial"/>
                <w:sz w:val="20"/>
                <w:szCs w:val="20"/>
              </w:rPr>
              <w:t>10</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In sample Error</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5.2641</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40.9550</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Root Mean of Squared Error (RMSE)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6.3996</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0.2182</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0.2171</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Out of sample Error</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Deviation (MAD)</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19.9750</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Squared Error (MSE)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615.5423</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Root Mean of Squared Error (RMSE)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24.8101</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Mean of Absolute Percent Error (MAPE)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0.2849</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Symmetric Mean of Absolute Percent Error (sMAPE)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0.2473</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b/>
                <w:bCs/>
                <w:sz w:val="20"/>
                <w:szCs w:val="20"/>
              </w:rPr>
            </w:pPr>
            <w:r w:rsidRPr="00B92C67">
              <w:rPr>
                <w:rFonts w:ascii="Arial" w:eastAsia="Times New Roman" w:hAnsi="Arial" w:cs="Arial"/>
                <w:b/>
                <w:bCs/>
                <w:sz w:val="20"/>
                <w:szCs w:val="20"/>
              </w:rPr>
              <w:t>Parameter</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B92C67" w:rsidRDefault="00771AC9" w:rsidP="00771AC9">
            <w:pPr>
              <w:spacing w:line="240" w:lineRule="auto"/>
              <w:rPr>
                <w:rFonts w:ascii="Arial" w:eastAsia="Times New Roman" w:hAnsi="Arial" w:cs="Arial"/>
                <w:sz w:val="20"/>
                <w:szCs w:val="20"/>
              </w:rPr>
            </w:pPr>
            <w:r w:rsidRPr="00B92C67">
              <w:rPr>
                <w:rFonts w:ascii="Arial" w:eastAsia="Times New Roman" w:hAnsi="Arial" w:cs="Arial"/>
                <w:sz w:val="20"/>
                <w:szCs w:val="20"/>
              </w:rPr>
              <w:t>alpha</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1.0000</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r w:rsidR="00B92C67" w:rsidRPr="00B92C67" w:rsidTr="00771AC9">
        <w:trPr>
          <w:trHeight w:val="255"/>
        </w:trPr>
        <w:tc>
          <w:tcPr>
            <w:tcW w:w="4734" w:type="dxa"/>
            <w:tcBorders>
              <w:top w:val="nil"/>
              <w:left w:val="single" w:sz="12" w:space="0" w:color="000000"/>
              <w:bottom w:val="nil"/>
              <w:right w:val="nil"/>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B92C67" w:rsidRPr="00B92C67" w:rsidRDefault="00B92C67" w:rsidP="00B92C67">
            <w:pPr>
              <w:spacing w:line="240" w:lineRule="auto"/>
              <w:rPr>
                <w:rFonts w:ascii="Arial" w:eastAsia="Times New Roman" w:hAnsi="Arial" w:cs="Arial"/>
                <w:sz w:val="20"/>
                <w:szCs w:val="20"/>
              </w:rPr>
            </w:pPr>
            <w:r w:rsidRPr="00B92C67">
              <w:rPr>
                <w:rFonts w:ascii="Arial" w:eastAsia="Times New Roman" w:hAnsi="Arial" w:cs="Arial"/>
                <w:sz w:val="20"/>
                <w:szCs w:val="20"/>
              </w:rPr>
              <w:t> </w:t>
            </w:r>
          </w:p>
        </w:tc>
      </w:tr>
    </w:tbl>
    <w:p w:rsidR="00FA65AF" w:rsidRDefault="00FA65AF" w:rsidP="00804213">
      <w:pPr>
        <w:rPr>
          <w:lang w:eastAsia="zh-CN"/>
        </w:rPr>
      </w:pPr>
    </w:p>
    <w:p w:rsidR="000266F1" w:rsidRPr="00771AC9" w:rsidRDefault="000266F1" w:rsidP="00804213">
      <w:pPr>
        <w:rPr>
          <w:sz w:val="22"/>
          <w:lang w:eastAsia="zh-CN"/>
        </w:rPr>
      </w:pPr>
      <w:r>
        <w:rPr>
          <w:lang w:eastAsia="zh-CN"/>
        </w:rPr>
        <w:t>c/d</w:t>
      </w:r>
      <w:r w:rsidR="00FB4864">
        <w:rPr>
          <w:lang w:eastAsia="zh-CN"/>
        </w:rPr>
        <w:t xml:space="preserve"> </w:t>
      </w:r>
      <w:r w:rsidR="00FB4864" w:rsidRPr="00771AC9">
        <w:rPr>
          <w:sz w:val="22"/>
          <w:lang w:eastAsia="zh-CN"/>
        </w:rPr>
        <w:t>Statistics apply to the hold-out sample</w:t>
      </w:r>
    </w:p>
    <w:tbl>
      <w:tblPr>
        <w:tblStyle w:val="TableGrid"/>
        <w:tblW w:w="0" w:type="auto"/>
        <w:tblInd w:w="-5" w:type="dxa"/>
        <w:tblLook w:val="04A0" w:firstRow="1" w:lastRow="0" w:firstColumn="1" w:lastColumn="0" w:noHBand="0" w:noVBand="1"/>
      </w:tblPr>
      <w:tblGrid>
        <w:gridCol w:w="1293"/>
        <w:gridCol w:w="1260"/>
        <w:gridCol w:w="1170"/>
        <w:gridCol w:w="1302"/>
        <w:gridCol w:w="1302"/>
        <w:gridCol w:w="1302"/>
      </w:tblGrid>
      <w:tr w:rsidR="00B92C67" w:rsidRPr="00771AC9" w:rsidTr="00B92C67">
        <w:trPr>
          <w:trHeight w:val="281"/>
        </w:trPr>
        <w:tc>
          <w:tcPr>
            <w:tcW w:w="1293" w:type="dxa"/>
          </w:tcPr>
          <w:p w:rsidR="00B92C67" w:rsidRPr="00771AC9" w:rsidRDefault="00B92C67" w:rsidP="00B92C67">
            <w:pPr>
              <w:rPr>
                <w:sz w:val="22"/>
              </w:rPr>
            </w:pPr>
            <w:r w:rsidRPr="00771AC9">
              <w:rPr>
                <w:sz w:val="22"/>
              </w:rPr>
              <w:t>Criterion</w:t>
            </w:r>
          </w:p>
        </w:tc>
        <w:tc>
          <w:tcPr>
            <w:tcW w:w="1260" w:type="dxa"/>
          </w:tcPr>
          <w:p w:rsidR="00B92C67" w:rsidRPr="00771AC9" w:rsidRDefault="00B92C67" w:rsidP="00B92C67">
            <w:pPr>
              <w:rPr>
                <w:sz w:val="22"/>
              </w:rPr>
            </w:pPr>
            <w:r w:rsidRPr="00771AC9">
              <w:rPr>
                <w:sz w:val="22"/>
              </w:rPr>
              <w:t>α =0.2</w:t>
            </w:r>
          </w:p>
        </w:tc>
        <w:tc>
          <w:tcPr>
            <w:tcW w:w="1170" w:type="dxa"/>
          </w:tcPr>
          <w:p w:rsidR="00B92C67" w:rsidRPr="00771AC9" w:rsidRDefault="00B92C67" w:rsidP="00B92C67">
            <w:pPr>
              <w:rPr>
                <w:sz w:val="22"/>
              </w:rPr>
            </w:pPr>
            <w:r w:rsidRPr="00771AC9">
              <w:rPr>
                <w:sz w:val="22"/>
              </w:rPr>
              <w:t>α=0.5</w:t>
            </w:r>
          </w:p>
        </w:tc>
        <w:tc>
          <w:tcPr>
            <w:tcW w:w="1302" w:type="dxa"/>
          </w:tcPr>
          <w:p w:rsidR="00B92C67" w:rsidRPr="00771AC9" w:rsidRDefault="00B92C67" w:rsidP="00B92C67">
            <w:pPr>
              <w:rPr>
                <w:sz w:val="22"/>
              </w:rPr>
            </w:pPr>
            <w:r w:rsidRPr="00771AC9">
              <w:rPr>
                <w:sz w:val="22"/>
              </w:rPr>
              <w:t>α=0.8</w:t>
            </w:r>
          </w:p>
        </w:tc>
        <w:tc>
          <w:tcPr>
            <w:tcW w:w="1302" w:type="dxa"/>
          </w:tcPr>
          <w:p w:rsidR="00B92C67" w:rsidRPr="00771AC9" w:rsidRDefault="000266F1" w:rsidP="00B92C67">
            <w:pPr>
              <w:rPr>
                <w:sz w:val="22"/>
              </w:rPr>
            </w:pPr>
            <w:r w:rsidRPr="00771AC9">
              <w:rPr>
                <w:sz w:val="22"/>
              </w:rPr>
              <w:t>SES</w:t>
            </w:r>
          </w:p>
        </w:tc>
        <w:tc>
          <w:tcPr>
            <w:tcW w:w="1302" w:type="dxa"/>
          </w:tcPr>
          <w:p w:rsidR="00B92C67" w:rsidRPr="00771AC9" w:rsidRDefault="000266F1" w:rsidP="00B92C67">
            <w:pPr>
              <w:rPr>
                <w:sz w:val="22"/>
              </w:rPr>
            </w:pPr>
            <w:r w:rsidRPr="00771AC9">
              <w:rPr>
                <w:sz w:val="22"/>
              </w:rPr>
              <w:t>LES</w:t>
            </w:r>
          </w:p>
        </w:tc>
      </w:tr>
      <w:tr w:rsidR="00B92C67" w:rsidRPr="00771AC9" w:rsidTr="00B92C67">
        <w:trPr>
          <w:trHeight w:val="281"/>
        </w:trPr>
        <w:tc>
          <w:tcPr>
            <w:tcW w:w="1293" w:type="dxa"/>
          </w:tcPr>
          <w:p w:rsidR="00B92C67" w:rsidRPr="00771AC9" w:rsidRDefault="00B92C67" w:rsidP="00B92C67">
            <w:pPr>
              <w:rPr>
                <w:sz w:val="22"/>
              </w:rPr>
            </w:pPr>
            <w:r w:rsidRPr="00771AC9">
              <w:rPr>
                <w:sz w:val="22"/>
              </w:rPr>
              <w:t>MAE</w:t>
            </w:r>
          </w:p>
        </w:tc>
        <w:tc>
          <w:tcPr>
            <w:tcW w:w="1260" w:type="dxa"/>
          </w:tcPr>
          <w:p w:rsidR="000266F1" w:rsidRPr="00771AC9" w:rsidRDefault="000266F1" w:rsidP="00B92C67">
            <w:pPr>
              <w:rPr>
                <w:sz w:val="22"/>
                <w:lang w:eastAsia="zh-CN"/>
              </w:rPr>
            </w:pPr>
            <w:r w:rsidRPr="00771AC9">
              <w:rPr>
                <w:sz w:val="22"/>
                <w:lang w:eastAsia="zh-CN"/>
              </w:rPr>
              <w:t>30.7</w:t>
            </w:r>
          </w:p>
        </w:tc>
        <w:tc>
          <w:tcPr>
            <w:tcW w:w="1170" w:type="dxa"/>
          </w:tcPr>
          <w:p w:rsidR="00B92C67" w:rsidRPr="00771AC9" w:rsidRDefault="000266F1" w:rsidP="00B92C67">
            <w:pPr>
              <w:rPr>
                <w:sz w:val="22"/>
                <w:lang w:eastAsia="zh-CN"/>
              </w:rPr>
            </w:pPr>
            <w:r w:rsidRPr="00771AC9">
              <w:rPr>
                <w:sz w:val="22"/>
                <w:lang w:eastAsia="zh-CN"/>
              </w:rPr>
              <w:t>20.7</w:t>
            </w:r>
          </w:p>
        </w:tc>
        <w:tc>
          <w:tcPr>
            <w:tcW w:w="1302" w:type="dxa"/>
          </w:tcPr>
          <w:p w:rsidR="00B92C67" w:rsidRPr="00771AC9" w:rsidRDefault="000266F1" w:rsidP="00B92C67">
            <w:pPr>
              <w:rPr>
                <w:sz w:val="22"/>
                <w:lang w:eastAsia="zh-CN"/>
              </w:rPr>
            </w:pPr>
            <w:r w:rsidRPr="00771AC9">
              <w:rPr>
                <w:sz w:val="22"/>
                <w:lang w:eastAsia="zh-CN"/>
              </w:rPr>
              <w:t>20.1</w:t>
            </w:r>
          </w:p>
        </w:tc>
        <w:tc>
          <w:tcPr>
            <w:tcW w:w="1302" w:type="dxa"/>
          </w:tcPr>
          <w:p w:rsidR="00B92C67" w:rsidRPr="00771AC9" w:rsidRDefault="000266F1" w:rsidP="00B92C67">
            <w:pPr>
              <w:rPr>
                <w:sz w:val="22"/>
                <w:lang w:eastAsia="zh-CN"/>
              </w:rPr>
            </w:pPr>
            <w:r w:rsidRPr="00771AC9">
              <w:rPr>
                <w:sz w:val="22"/>
                <w:lang w:eastAsia="zh-CN"/>
              </w:rPr>
              <w:t>20.0</w:t>
            </w:r>
          </w:p>
        </w:tc>
        <w:tc>
          <w:tcPr>
            <w:tcW w:w="1302" w:type="dxa"/>
          </w:tcPr>
          <w:p w:rsidR="00B92C67" w:rsidRPr="00771AC9" w:rsidRDefault="000266F1" w:rsidP="00B92C67">
            <w:pPr>
              <w:rPr>
                <w:sz w:val="22"/>
                <w:lang w:eastAsia="zh-CN"/>
              </w:rPr>
            </w:pPr>
            <w:r w:rsidRPr="00771AC9">
              <w:rPr>
                <w:sz w:val="22"/>
                <w:lang w:eastAsia="zh-CN"/>
              </w:rPr>
              <w:t>23.7</w:t>
            </w:r>
          </w:p>
        </w:tc>
      </w:tr>
      <w:tr w:rsidR="000266F1" w:rsidRPr="00771AC9" w:rsidTr="00B92C67">
        <w:trPr>
          <w:trHeight w:val="296"/>
        </w:trPr>
        <w:tc>
          <w:tcPr>
            <w:tcW w:w="1293" w:type="dxa"/>
          </w:tcPr>
          <w:p w:rsidR="000266F1" w:rsidRPr="00771AC9" w:rsidRDefault="000266F1" w:rsidP="000266F1">
            <w:pPr>
              <w:rPr>
                <w:sz w:val="22"/>
              </w:rPr>
            </w:pPr>
            <w:r w:rsidRPr="00771AC9">
              <w:rPr>
                <w:sz w:val="22"/>
              </w:rPr>
              <w:t>RMSE</w:t>
            </w:r>
          </w:p>
        </w:tc>
        <w:tc>
          <w:tcPr>
            <w:tcW w:w="1260" w:type="dxa"/>
          </w:tcPr>
          <w:p w:rsidR="000266F1" w:rsidRPr="00771AC9" w:rsidRDefault="000266F1" w:rsidP="000266F1">
            <w:pPr>
              <w:rPr>
                <w:sz w:val="22"/>
                <w:lang w:eastAsia="zh-CN"/>
              </w:rPr>
            </w:pPr>
            <w:r w:rsidRPr="00771AC9">
              <w:rPr>
                <w:sz w:val="22"/>
                <w:lang w:eastAsia="zh-CN"/>
              </w:rPr>
              <w:t>33.9</w:t>
            </w:r>
          </w:p>
        </w:tc>
        <w:tc>
          <w:tcPr>
            <w:tcW w:w="1170" w:type="dxa"/>
          </w:tcPr>
          <w:p w:rsidR="000266F1" w:rsidRPr="00771AC9" w:rsidRDefault="000266F1" w:rsidP="000266F1">
            <w:pPr>
              <w:rPr>
                <w:sz w:val="22"/>
                <w:lang w:eastAsia="zh-CN"/>
              </w:rPr>
            </w:pPr>
            <w:r w:rsidRPr="00771AC9">
              <w:rPr>
                <w:sz w:val="22"/>
                <w:lang w:eastAsia="zh-CN"/>
              </w:rPr>
              <w:t>25.8</w:t>
            </w:r>
          </w:p>
        </w:tc>
        <w:tc>
          <w:tcPr>
            <w:tcW w:w="1302" w:type="dxa"/>
          </w:tcPr>
          <w:p w:rsidR="000266F1" w:rsidRPr="00771AC9" w:rsidRDefault="000266F1" w:rsidP="000266F1">
            <w:pPr>
              <w:rPr>
                <w:sz w:val="22"/>
                <w:lang w:eastAsia="zh-CN"/>
              </w:rPr>
            </w:pPr>
            <w:r w:rsidRPr="00771AC9">
              <w:rPr>
                <w:sz w:val="22"/>
                <w:lang w:eastAsia="zh-CN"/>
              </w:rPr>
              <w:t>24.8</w:t>
            </w:r>
          </w:p>
        </w:tc>
        <w:tc>
          <w:tcPr>
            <w:tcW w:w="1302" w:type="dxa"/>
          </w:tcPr>
          <w:p w:rsidR="000266F1" w:rsidRPr="00771AC9" w:rsidRDefault="000266F1" w:rsidP="000266F1">
            <w:pPr>
              <w:rPr>
                <w:sz w:val="22"/>
                <w:lang w:eastAsia="zh-CN"/>
              </w:rPr>
            </w:pPr>
            <w:r w:rsidRPr="00771AC9">
              <w:rPr>
                <w:sz w:val="22"/>
                <w:lang w:eastAsia="zh-CN"/>
              </w:rPr>
              <w:t>24.8</w:t>
            </w:r>
          </w:p>
        </w:tc>
        <w:tc>
          <w:tcPr>
            <w:tcW w:w="1302" w:type="dxa"/>
          </w:tcPr>
          <w:p w:rsidR="000266F1" w:rsidRPr="00771AC9" w:rsidRDefault="000266F1" w:rsidP="000266F1">
            <w:pPr>
              <w:rPr>
                <w:sz w:val="22"/>
              </w:rPr>
            </w:pPr>
            <w:r w:rsidRPr="00771AC9">
              <w:rPr>
                <w:sz w:val="22"/>
              </w:rPr>
              <w:t>27.3</w:t>
            </w:r>
          </w:p>
        </w:tc>
      </w:tr>
      <w:tr w:rsidR="000266F1" w:rsidRPr="00771AC9" w:rsidTr="00B92C67">
        <w:trPr>
          <w:trHeight w:val="296"/>
        </w:trPr>
        <w:tc>
          <w:tcPr>
            <w:tcW w:w="1293" w:type="dxa"/>
          </w:tcPr>
          <w:p w:rsidR="000266F1" w:rsidRPr="00771AC9" w:rsidRDefault="000266F1" w:rsidP="000266F1">
            <w:pPr>
              <w:rPr>
                <w:sz w:val="22"/>
              </w:rPr>
            </w:pPr>
            <w:r w:rsidRPr="00771AC9">
              <w:rPr>
                <w:sz w:val="22"/>
              </w:rPr>
              <w:t>MAPE</w:t>
            </w:r>
          </w:p>
        </w:tc>
        <w:tc>
          <w:tcPr>
            <w:tcW w:w="1260" w:type="dxa"/>
          </w:tcPr>
          <w:p w:rsidR="000266F1" w:rsidRPr="00771AC9" w:rsidRDefault="000266F1" w:rsidP="000266F1">
            <w:pPr>
              <w:rPr>
                <w:sz w:val="22"/>
              </w:rPr>
            </w:pPr>
            <w:r w:rsidRPr="00771AC9">
              <w:rPr>
                <w:sz w:val="22"/>
              </w:rPr>
              <w:t>36.1</w:t>
            </w:r>
          </w:p>
        </w:tc>
        <w:tc>
          <w:tcPr>
            <w:tcW w:w="1170" w:type="dxa"/>
          </w:tcPr>
          <w:p w:rsidR="000266F1" w:rsidRPr="00771AC9" w:rsidRDefault="000266F1" w:rsidP="000266F1">
            <w:pPr>
              <w:rPr>
                <w:sz w:val="22"/>
              </w:rPr>
            </w:pPr>
            <w:r w:rsidRPr="00771AC9">
              <w:rPr>
                <w:sz w:val="22"/>
              </w:rPr>
              <w:t>27.9</w:t>
            </w:r>
          </w:p>
        </w:tc>
        <w:tc>
          <w:tcPr>
            <w:tcW w:w="1302" w:type="dxa"/>
          </w:tcPr>
          <w:p w:rsidR="000266F1" w:rsidRPr="00771AC9" w:rsidRDefault="000266F1" w:rsidP="000266F1">
            <w:pPr>
              <w:rPr>
                <w:sz w:val="22"/>
                <w:lang w:eastAsia="zh-CN"/>
              </w:rPr>
            </w:pPr>
            <w:r w:rsidRPr="00771AC9">
              <w:rPr>
                <w:sz w:val="22"/>
                <w:lang w:eastAsia="zh-CN"/>
              </w:rPr>
              <w:t>28.2</w:t>
            </w:r>
          </w:p>
        </w:tc>
        <w:tc>
          <w:tcPr>
            <w:tcW w:w="1302" w:type="dxa"/>
          </w:tcPr>
          <w:p w:rsidR="000266F1" w:rsidRPr="00771AC9" w:rsidRDefault="000266F1" w:rsidP="000266F1">
            <w:pPr>
              <w:rPr>
                <w:sz w:val="22"/>
              </w:rPr>
            </w:pPr>
            <w:r w:rsidRPr="00771AC9">
              <w:rPr>
                <w:sz w:val="22"/>
              </w:rPr>
              <w:t>28.5</w:t>
            </w:r>
          </w:p>
        </w:tc>
        <w:tc>
          <w:tcPr>
            <w:tcW w:w="1302" w:type="dxa"/>
          </w:tcPr>
          <w:p w:rsidR="000266F1" w:rsidRPr="00771AC9" w:rsidRDefault="000266F1" w:rsidP="000266F1">
            <w:pPr>
              <w:rPr>
                <w:sz w:val="22"/>
              </w:rPr>
            </w:pPr>
            <w:r w:rsidRPr="00771AC9">
              <w:rPr>
                <w:sz w:val="22"/>
              </w:rPr>
              <w:t>33.0</w:t>
            </w:r>
          </w:p>
        </w:tc>
      </w:tr>
      <w:tr w:rsidR="000266F1" w:rsidRPr="00771AC9" w:rsidTr="00B92C67">
        <w:trPr>
          <w:trHeight w:val="296"/>
        </w:trPr>
        <w:tc>
          <w:tcPr>
            <w:tcW w:w="1293" w:type="dxa"/>
          </w:tcPr>
          <w:p w:rsidR="000266F1" w:rsidRPr="00771AC9" w:rsidRDefault="000266F1" w:rsidP="000266F1">
            <w:pPr>
              <w:rPr>
                <w:sz w:val="22"/>
              </w:rPr>
            </w:pPr>
            <w:r w:rsidRPr="00771AC9">
              <w:rPr>
                <w:sz w:val="22"/>
              </w:rPr>
              <w:t>MdAE</w:t>
            </w:r>
          </w:p>
        </w:tc>
        <w:tc>
          <w:tcPr>
            <w:tcW w:w="1260" w:type="dxa"/>
          </w:tcPr>
          <w:p w:rsidR="000266F1" w:rsidRPr="00771AC9" w:rsidRDefault="000266F1" w:rsidP="000266F1">
            <w:pPr>
              <w:rPr>
                <w:sz w:val="22"/>
              </w:rPr>
            </w:pPr>
            <w:r w:rsidRPr="00771AC9">
              <w:rPr>
                <w:sz w:val="22"/>
              </w:rPr>
              <w:t>30.6</w:t>
            </w:r>
          </w:p>
        </w:tc>
        <w:tc>
          <w:tcPr>
            <w:tcW w:w="1170" w:type="dxa"/>
          </w:tcPr>
          <w:p w:rsidR="000266F1" w:rsidRPr="00771AC9" w:rsidRDefault="000266F1" w:rsidP="000266F1">
            <w:pPr>
              <w:rPr>
                <w:sz w:val="22"/>
              </w:rPr>
            </w:pPr>
            <w:r w:rsidRPr="00771AC9">
              <w:rPr>
                <w:sz w:val="22"/>
              </w:rPr>
              <w:t>15.8</w:t>
            </w:r>
          </w:p>
        </w:tc>
        <w:tc>
          <w:tcPr>
            <w:tcW w:w="1302" w:type="dxa"/>
          </w:tcPr>
          <w:p w:rsidR="000266F1" w:rsidRPr="00771AC9" w:rsidRDefault="000266F1" w:rsidP="000266F1">
            <w:pPr>
              <w:rPr>
                <w:sz w:val="22"/>
                <w:lang w:eastAsia="zh-CN"/>
              </w:rPr>
            </w:pPr>
            <w:r w:rsidRPr="00771AC9">
              <w:rPr>
                <w:sz w:val="22"/>
                <w:lang w:eastAsia="zh-CN"/>
              </w:rPr>
              <w:t>18.4</w:t>
            </w:r>
          </w:p>
        </w:tc>
        <w:tc>
          <w:tcPr>
            <w:tcW w:w="1302" w:type="dxa"/>
          </w:tcPr>
          <w:p w:rsidR="000266F1" w:rsidRPr="00771AC9" w:rsidRDefault="000266F1" w:rsidP="000266F1">
            <w:pPr>
              <w:rPr>
                <w:sz w:val="22"/>
              </w:rPr>
            </w:pPr>
            <w:r w:rsidRPr="00771AC9">
              <w:rPr>
                <w:sz w:val="22"/>
              </w:rPr>
              <w:t>19.7</w:t>
            </w:r>
          </w:p>
        </w:tc>
        <w:tc>
          <w:tcPr>
            <w:tcW w:w="1302" w:type="dxa"/>
          </w:tcPr>
          <w:p w:rsidR="000266F1" w:rsidRPr="00771AC9" w:rsidRDefault="000266F1" w:rsidP="000266F1">
            <w:pPr>
              <w:rPr>
                <w:sz w:val="22"/>
              </w:rPr>
            </w:pPr>
            <w:r w:rsidRPr="00771AC9">
              <w:rPr>
                <w:sz w:val="22"/>
              </w:rPr>
              <w:t>16.9</w:t>
            </w:r>
          </w:p>
        </w:tc>
      </w:tr>
      <w:tr w:rsidR="000266F1" w:rsidRPr="00771AC9" w:rsidTr="00B92C67">
        <w:trPr>
          <w:trHeight w:val="296"/>
        </w:trPr>
        <w:tc>
          <w:tcPr>
            <w:tcW w:w="1293" w:type="dxa"/>
          </w:tcPr>
          <w:p w:rsidR="000266F1" w:rsidRPr="00771AC9" w:rsidRDefault="000266F1" w:rsidP="000266F1">
            <w:pPr>
              <w:rPr>
                <w:sz w:val="22"/>
              </w:rPr>
            </w:pPr>
            <w:r w:rsidRPr="00771AC9">
              <w:rPr>
                <w:sz w:val="22"/>
              </w:rPr>
              <w:t>MdAPE</w:t>
            </w:r>
          </w:p>
        </w:tc>
        <w:tc>
          <w:tcPr>
            <w:tcW w:w="1260" w:type="dxa"/>
          </w:tcPr>
          <w:p w:rsidR="000266F1" w:rsidRPr="00771AC9" w:rsidRDefault="000266F1" w:rsidP="000266F1">
            <w:pPr>
              <w:rPr>
                <w:sz w:val="22"/>
              </w:rPr>
            </w:pPr>
            <w:r w:rsidRPr="00771AC9">
              <w:rPr>
                <w:sz w:val="22"/>
              </w:rPr>
              <w:t>32.7</w:t>
            </w:r>
          </w:p>
        </w:tc>
        <w:tc>
          <w:tcPr>
            <w:tcW w:w="1170" w:type="dxa"/>
          </w:tcPr>
          <w:p w:rsidR="000266F1" w:rsidRPr="00771AC9" w:rsidRDefault="000266F1" w:rsidP="000266F1">
            <w:pPr>
              <w:rPr>
                <w:sz w:val="22"/>
              </w:rPr>
            </w:pPr>
            <w:r w:rsidRPr="00771AC9">
              <w:rPr>
                <w:sz w:val="22"/>
              </w:rPr>
              <w:t>19.4</w:t>
            </w:r>
          </w:p>
        </w:tc>
        <w:tc>
          <w:tcPr>
            <w:tcW w:w="1302" w:type="dxa"/>
          </w:tcPr>
          <w:p w:rsidR="000266F1" w:rsidRPr="00771AC9" w:rsidRDefault="000266F1" w:rsidP="000266F1">
            <w:pPr>
              <w:rPr>
                <w:sz w:val="22"/>
                <w:lang w:eastAsia="zh-CN"/>
              </w:rPr>
            </w:pPr>
            <w:r w:rsidRPr="00771AC9">
              <w:rPr>
                <w:sz w:val="22"/>
                <w:lang w:eastAsia="zh-CN"/>
              </w:rPr>
              <w:t>20.6</w:t>
            </w:r>
          </w:p>
        </w:tc>
        <w:tc>
          <w:tcPr>
            <w:tcW w:w="1302" w:type="dxa"/>
          </w:tcPr>
          <w:p w:rsidR="000266F1" w:rsidRPr="00771AC9" w:rsidRDefault="000266F1" w:rsidP="000266F1">
            <w:pPr>
              <w:rPr>
                <w:sz w:val="22"/>
              </w:rPr>
            </w:pPr>
            <w:r w:rsidRPr="00771AC9">
              <w:rPr>
                <w:sz w:val="22"/>
              </w:rPr>
              <w:t>22.4</w:t>
            </w:r>
          </w:p>
        </w:tc>
        <w:tc>
          <w:tcPr>
            <w:tcW w:w="1302" w:type="dxa"/>
          </w:tcPr>
          <w:p w:rsidR="000266F1" w:rsidRPr="00771AC9" w:rsidRDefault="000266F1" w:rsidP="000266F1">
            <w:pPr>
              <w:rPr>
                <w:sz w:val="22"/>
              </w:rPr>
            </w:pPr>
            <w:r w:rsidRPr="00771AC9">
              <w:rPr>
                <w:sz w:val="22"/>
              </w:rPr>
              <w:t>19.1</w:t>
            </w:r>
          </w:p>
        </w:tc>
      </w:tr>
    </w:tbl>
    <w:p w:rsidR="00B92C67" w:rsidRDefault="00B92C67" w:rsidP="00B92C67">
      <w:pPr>
        <w:rPr>
          <w:lang w:eastAsia="zh-CN"/>
        </w:rPr>
      </w:pPr>
    </w:p>
    <w:p w:rsidR="000266F1" w:rsidRPr="00771AC9" w:rsidRDefault="000266F1" w:rsidP="00B92C67">
      <w:pPr>
        <w:rPr>
          <w:sz w:val="22"/>
          <w:lang w:eastAsia="zh-CN"/>
        </w:rPr>
      </w:pPr>
      <w:r w:rsidRPr="00771AC9">
        <w:rPr>
          <w:sz w:val="22"/>
          <w:lang w:eastAsia="zh-CN"/>
        </w:rPr>
        <w:t>Forecasts available via the ESM. The summary statistics appear in the table. Occasional large errors have a considerable effect on the ordering of the methods. These large errors mean that none of the different methods perform well.</w:t>
      </w:r>
    </w:p>
    <w:p w:rsidR="00804213" w:rsidRDefault="00804213" w:rsidP="0094418E"/>
    <w:p w:rsidR="00771AC9" w:rsidRPr="00771AC9" w:rsidRDefault="00B830F7" w:rsidP="00771AC9">
      <w:pPr>
        <w:pStyle w:val="Heading3"/>
      </w:pPr>
      <w:r w:rsidRPr="00771AC9">
        <w:t>3</w:t>
      </w:r>
      <w:r w:rsidR="00DF5412" w:rsidRPr="00771AC9">
        <w:t>.9</w:t>
      </w:r>
      <w:r w:rsidR="00224B20" w:rsidRPr="00771AC9">
        <w:t xml:space="preserve"> </w:t>
      </w:r>
    </w:p>
    <w:p w:rsidR="00F77191" w:rsidRPr="00771AC9" w:rsidRDefault="00FB4864" w:rsidP="0094418E">
      <w:pPr>
        <w:rPr>
          <w:sz w:val="22"/>
          <w:lang w:eastAsia="zh-CN"/>
        </w:rPr>
      </w:pPr>
      <w:r w:rsidRPr="00771AC9">
        <w:rPr>
          <w:sz w:val="22"/>
          <w:lang w:eastAsia="zh-CN"/>
        </w:rPr>
        <w:t>Statistics apply to the hold-out sample</w:t>
      </w:r>
    </w:p>
    <w:p w:rsidR="00DA0160" w:rsidRPr="00771AC9" w:rsidRDefault="00DF5412" w:rsidP="0094418E">
      <w:pPr>
        <w:rPr>
          <w:sz w:val="22"/>
          <w:lang w:eastAsia="zh-CN"/>
        </w:rPr>
      </w:pPr>
      <w:r w:rsidRPr="00771AC9">
        <w:rPr>
          <w:sz w:val="22"/>
          <w:lang w:eastAsia="zh-CN"/>
        </w:rPr>
        <w:t xml:space="preserve">The summary statistics are: </w:t>
      </w:r>
    </w:p>
    <w:tbl>
      <w:tblPr>
        <w:tblW w:w="518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220"/>
        <w:gridCol w:w="1276"/>
        <w:gridCol w:w="1336"/>
      </w:tblGrid>
      <w:tr w:rsidR="00DF5412" w:rsidRPr="00D8202E" w:rsidTr="00DF5412">
        <w:trPr>
          <w:trHeight w:val="255"/>
        </w:trPr>
        <w:tc>
          <w:tcPr>
            <w:tcW w:w="1350" w:type="dxa"/>
            <w:shd w:val="clear" w:color="auto" w:fill="auto"/>
            <w:noWrap/>
            <w:vAlign w:val="bottom"/>
          </w:tcPr>
          <w:p w:rsidR="00DF5412" w:rsidRPr="00D8202E" w:rsidRDefault="00DF5412" w:rsidP="00D8202E">
            <w:pPr>
              <w:spacing w:line="240" w:lineRule="auto"/>
              <w:rPr>
                <w:rFonts w:ascii="Arial" w:eastAsia="Times New Roman" w:hAnsi="Arial" w:cs="Arial"/>
                <w:sz w:val="20"/>
                <w:szCs w:val="20"/>
                <w:lang w:eastAsia="zh-CN"/>
              </w:rPr>
            </w:pPr>
            <w:r>
              <w:rPr>
                <w:rFonts w:ascii="Arial" w:eastAsia="Times New Roman" w:hAnsi="Arial" w:cs="Arial"/>
                <w:sz w:val="20"/>
                <w:szCs w:val="20"/>
                <w:lang w:eastAsia="zh-CN"/>
              </w:rPr>
              <w:t>Statistic</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1978-2007</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1978-2004</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1989-2004</w:t>
            </w:r>
          </w:p>
        </w:tc>
      </w:tr>
      <w:tr w:rsidR="00DF5412" w:rsidRPr="00D8202E" w:rsidTr="00DF5412">
        <w:trPr>
          <w:trHeight w:val="255"/>
        </w:trPr>
        <w:tc>
          <w:tcPr>
            <w:tcW w:w="1350" w:type="dxa"/>
            <w:shd w:val="clear" w:color="auto" w:fill="auto"/>
            <w:noWrap/>
            <w:vAlign w:val="bottom"/>
          </w:tcPr>
          <w:p w:rsidR="00DF5412" w:rsidRPr="00D8202E"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MAE</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23.7</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18.2</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19.3</w:t>
            </w:r>
          </w:p>
        </w:tc>
      </w:tr>
      <w:tr w:rsidR="00DF5412" w:rsidRPr="00D8202E" w:rsidTr="00DF5412">
        <w:trPr>
          <w:trHeight w:val="255"/>
        </w:trPr>
        <w:tc>
          <w:tcPr>
            <w:tcW w:w="1350" w:type="dxa"/>
            <w:shd w:val="clear" w:color="auto" w:fill="auto"/>
            <w:noWrap/>
            <w:vAlign w:val="bottom"/>
          </w:tcPr>
          <w:p w:rsidR="00DF5412" w:rsidRPr="00D8202E"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RMSE</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27.3</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23.3</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25.1</w:t>
            </w:r>
          </w:p>
        </w:tc>
      </w:tr>
      <w:tr w:rsidR="00DF5412" w:rsidRPr="00D8202E" w:rsidTr="00DF5412">
        <w:trPr>
          <w:trHeight w:val="255"/>
        </w:trPr>
        <w:tc>
          <w:tcPr>
            <w:tcW w:w="1350" w:type="dxa"/>
            <w:shd w:val="clear" w:color="auto" w:fill="auto"/>
            <w:noWrap/>
            <w:vAlign w:val="bottom"/>
          </w:tcPr>
          <w:p w:rsidR="00DF5412" w:rsidRPr="00D8202E"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MAPE</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33.0</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26.0</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29.9</w:t>
            </w:r>
          </w:p>
        </w:tc>
      </w:tr>
      <w:tr w:rsidR="00DF5412" w:rsidRPr="00D8202E" w:rsidTr="00DF5412">
        <w:trPr>
          <w:trHeight w:val="255"/>
        </w:trPr>
        <w:tc>
          <w:tcPr>
            <w:tcW w:w="1350" w:type="dxa"/>
            <w:shd w:val="clear" w:color="auto" w:fill="auto"/>
            <w:noWrap/>
            <w:vAlign w:val="bottom"/>
          </w:tcPr>
          <w:p w:rsidR="00DF5412"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α</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0.96</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0.95</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0.23</w:t>
            </w:r>
          </w:p>
        </w:tc>
      </w:tr>
      <w:tr w:rsidR="00DF5412" w:rsidRPr="00D8202E" w:rsidTr="00DF5412">
        <w:trPr>
          <w:trHeight w:val="255"/>
        </w:trPr>
        <w:tc>
          <w:tcPr>
            <w:tcW w:w="1350" w:type="dxa"/>
            <w:shd w:val="clear" w:color="auto" w:fill="auto"/>
            <w:noWrap/>
            <w:vAlign w:val="bottom"/>
          </w:tcPr>
          <w:p w:rsidR="00DF5412"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β</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0.43</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0.36</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r>
      <w:tr w:rsidR="00DF5412" w:rsidRPr="00D8202E" w:rsidTr="00DF5412">
        <w:trPr>
          <w:trHeight w:val="255"/>
        </w:trPr>
        <w:tc>
          <w:tcPr>
            <w:tcW w:w="1350" w:type="dxa"/>
            <w:shd w:val="clear" w:color="auto" w:fill="auto"/>
            <w:noWrap/>
            <w:vAlign w:val="bottom"/>
          </w:tcPr>
          <w:p w:rsidR="00DF5412"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SE</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6.11</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6.11</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4.30</w:t>
            </w:r>
          </w:p>
        </w:tc>
      </w:tr>
      <w:tr w:rsidR="00DF5412" w:rsidRPr="00D8202E" w:rsidTr="00DF5412">
        <w:trPr>
          <w:trHeight w:val="255"/>
        </w:trPr>
        <w:tc>
          <w:tcPr>
            <w:tcW w:w="1350" w:type="dxa"/>
            <w:shd w:val="clear" w:color="auto" w:fill="auto"/>
            <w:noWrap/>
            <w:vAlign w:val="bottom"/>
          </w:tcPr>
          <w:p w:rsidR="00DF5412"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95% PI</w:t>
            </w:r>
          </w:p>
          <w:p w:rsidR="00DF5412" w:rsidRDefault="00DF5412" w:rsidP="00D8202E">
            <w:pPr>
              <w:spacing w:line="240" w:lineRule="auto"/>
              <w:jc w:val="right"/>
              <w:rPr>
                <w:rFonts w:ascii="Arial" w:hAnsi="Arial" w:cs="Arial"/>
                <w:sz w:val="20"/>
                <w:szCs w:val="20"/>
                <w:lang w:eastAsia="zh-CN"/>
              </w:rPr>
            </w:pPr>
            <w:r>
              <w:rPr>
                <w:rFonts w:ascii="Arial" w:hAnsi="Arial" w:cs="Arial"/>
                <w:sz w:val="20"/>
                <w:szCs w:val="20"/>
                <w:lang w:eastAsia="zh-CN"/>
              </w:rPr>
              <w:t>F+/- value</w:t>
            </w:r>
          </w:p>
        </w:tc>
        <w:tc>
          <w:tcPr>
            <w:tcW w:w="1220"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11.98</w:t>
            </w:r>
          </w:p>
        </w:tc>
        <w:tc>
          <w:tcPr>
            <w:tcW w:w="127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11.98</w:t>
            </w:r>
          </w:p>
        </w:tc>
        <w:tc>
          <w:tcPr>
            <w:tcW w:w="1336" w:type="dxa"/>
            <w:shd w:val="clear" w:color="auto" w:fill="auto"/>
            <w:noWrap/>
            <w:vAlign w:val="bottom"/>
          </w:tcPr>
          <w:p w:rsidR="00DF5412" w:rsidRPr="00D8202E" w:rsidRDefault="00DF5412"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8.43</w:t>
            </w:r>
          </w:p>
        </w:tc>
      </w:tr>
      <w:tr w:rsidR="00DF5412" w:rsidRPr="00D8202E" w:rsidTr="00DF5412">
        <w:trPr>
          <w:trHeight w:val="255"/>
        </w:trPr>
        <w:tc>
          <w:tcPr>
            <w:tcW w:w="1350" w:type="dxa"/>
            <w:shd w:val="clear" w:color="auto" w:fill="auto"/>
            <w:noWrap/>
            <w:vAlign w:val="bottom"/>
          </w:tcPr>
          <w:p w:rsidR="00DF5412" w:rsidRDefault="0019305D" w:rsidP="00D8202E">
            <w:pPr>
              <w:spacing w:line="240" w:lineRule="auto"/>
              <w:jc w:val="right"/>
              <w:rPr>
                <w:rFonts w:ascii="Arial" w:hAnsi="Arial" w:cs="Arial"/>
                <w:sz w:val="20"/>
                <w:szCs w:val="20"/>
                <w:lang w:eastAsia="zh-CN"/>
              </w:rPr>
            </w:pPr>
            <w:r>
              <w:rPr>
                <w:rFonts w:ascii="Arial" w:hAnsi="Arial" w:cs="Arial"/>
                <w:sz w:val="20"/>
                <w:szCs w:val="20"/>
                <w:lang w:eastAsia="zh-CN"/>
              </w:rPr>
              <w:t>Inside PI?</w:t>
            </w:r>
          </w:p>
        </w:tc>
        <w:tc>
          <w:tcPr>
            <w:tcW w:w="1220" w:type="dxa"/>
            <w:shd w:val="clear" w:color="auto" w:fill="auto"/>
            <w:noWrap/>
            <w:vAlign w:val="bottom"/>
          </w:tcPr>
          <w:p w:rsidR="00DF5412" w:rsidRDefault="002E1261"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w:t>
            </w:r>
          </w:p>
        </w:tc>
        <w:tc>
          <w:tcPr>
            <w:tcW w:w="1276" w:type="dxa"/>
            <w:shd w:val="clear" w:color="auto" w:fill="auto"/>
            <w:noWrap/>
            <w:vAlign w:val="bottom"/>
          </w:tcPr>
          <w:p w:rsidR="00DF5412" w:rsidRDefault="002E1261"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w:t>
            </w:r>
          </w:p>
        </w:tc>
        <w:tc>
          <w:tcPr>
            <w:tcW w:w="1336" w:type="dxa"/>
            <w:shd w:val="clear" w:color="auto" w:fill="auto"/>
            <w:noWrap/>
            <w:vAlign w:val="bottom"/>
          </w:tcPr>
          <w:p w:rsidR="00DF5412" w:rsidRDefault="002E1261" w:rsidP="00136D23">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w:t>
            </w:r>
          </w:p>
        </w:tc>
      </w:tr>
    </w:tbl>
    <w:p w:rsidR="0019305D" w:rsidRDefault="0019305D" w:rsidP="0094418E">
      <w:pPr>
        <w:rPr>
          <w:lang w:eastAsia="zh-CN"/>
        </w:rPr>
      </w:pPr>
    </w:p>
    <w:p w:rsidR="00E46225" w:rsidRPr="00771AC9" w:rsidRDefault="00E46225" w:rsidP="0094418E">
      <w:pPr>
        <w:rPr>
          <w:sz w:val="22"/>
          <w:lang w:eastAsia="zh-CN"/>
        </w:rPr>
      </w:pPr>
      <w:r w:rsidRPr="00771AC9">
        <w:rPr>
          <w:sz w:val="22"/>
          <w:lang w:eastAsia="zh-CN"/>
        </w:rPr>
        <w:t>Omitting the start of the series changes the estimates considerably.</w:t>
      </w:r>
    </w:p>
    <w:p w:rsidR="00DA0160" w:rsidRPr="00771AC9" w:rsidRDefault="00DF5412" w:rsidP="0094418E">
      <w:pPr>
        <w:rPr>
          <w:sz w:val="22"/>
          <w:lang w:eastAsia="zh-CN"/>
        </w:rPr>
      </w:pPr>
      <w:r w:rsidRPr="00771AC9">
        <w:rPr>
          <w:sz w:val="22"/>
          <w:lang w:eastAsia="zh-CN"/>
        </w:rPr>
        <w:t>If the absolute error is less than the PI figure in the table, the PI includes the observation; otherwise not</w:t>
      </w:r>
      <w:r w:rsidR="0019305D" w:rsidRPr="00771AC9">
        <w:rPr>
          <w:sz w:val="22"/>
          <w:lang w:eastAsia="zh-CN"/>
        </w:rPr>
        <w:t>.</w:t>
      </w:r>
    </w:p>
    <w:p w:rsidR="0019305D" w:rsidRPr="00771AC9" w:rsidRDefault="0019305D" w:rsidP="0094418E">
      <w:pPr>
        <w:rPr>
          <w:sz w:val="22"/>
          <w:lang w:eastAsia="zh-CN"/>
        </w:rPr>
      </w:pPr>
      <w:r w:rsidRPr="00771AC9">
        <w:rPr>
          <w:sz w:val="22"/>
          <w:lang w:eastAsia="zh-CN"/>
        </w:rPr>
        <w:t>The end of the series is much more volatile than the start, so none of the PIs comes close to including sufficient observations.</w:t>
      </w:r>
    </w:p>
    <w:p w:rsidR="00DA0160" w:rsidRDefault="00DA0160" w:rsidP="0094418E">
      <w:pPr>
        <w:rPr>
          <w:lang w:eastAsia="zh-CN"/>
        </w:rPr>
      </w:pPr>
    </w:p>
    <w:p w:rsidR="00771AC9" w:rsidRDefault="00861391" w:rsidP="00771AC9">
      <w:pPr>
        <w:pStyle w:val="Heading3"/>
      </w:pPr>
      <w:r w:rsidRPr="00136D23">
        <w:t>3</w:t>
      </w:r>
      <w:r w:rsidR="002E1261">
        <w:t>.10</w:t>
      </w:r>
      <w:r w:rsidR="00224B20" w:rsidRPr="00136D23">
        <w:t xml:space="preserve">  </w:t>
      </w:r>
    </w:p>
    <w:p w:rsidR="002A3C44" w:rsidRDefault="00FB4864" w:rsidP="00861391">
      <w:r>
        <w:rPr>
          <w:lang w:eastAsia="zh-CN"/>
        </w:rPr>
        <w:t>Statistics apply to the hold-out sample</w:t>
      </w:r>
    </w:p>
    <w:tbl>
      <w:tblPr>
        <w:tblW w:w="77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90"/>
        <w:gridCol w:w="1170"/>
        <w:gridCol w:w="990"/>
        <w:gridCol w:w="1170"/>
        <w:gridCol w:w="990"/>
        <w:gridCol w:w="1080"/>
      </w:tblGrid>
      <w:tr w:rsidR="0040314C" w:rsidRPr="00D8202E" w:rsidTr="005B5E96">
        <w:trPr>
          <w:trHeight w:val="255"/>
        </w:trPr>
        <w:tc>
          <w:tcPr>
            <w:tcW w:w="1350" w:type="dxa"/>
            <w:shd w:val="clear" w:color="auto" w:fill="auto"/>
            <w:noWrap/>
            <w:vAlign w:val="bottom"/>
          </w:tcPr>
          <w:p w:rsidR="0040314C" w:rsidRDefault="0040314C" w:rsidP="0040314C">
            <w:pPr>
              <w:spacing w:line="240" w:lineRule="auto"/>
              <w:rPr>
                <w:rFonts w:ascii="Arial" w:eastAsia="Times New Roman" w:hAnsi="Arial" w:cs="Arial"/>
                <w:sz w:val="20"/>
                <w:szCs w:val="20"/>
                <w:lang w:eastAsia="zh-CN"/>
              </w:rPr>
            </w:pPr>
          </w:p>
        </w:tc>
        <w:tc>
          <w:tcPr>
            <w:tcW w:w="3150" w:type="dxa"/>
            <w:gridSpan w:val="3"/>
            <w:shd w:val="clear" w:color="auto" w:fill="auto"/>
            <w:noWrap/>
            <w:vAlign w:val="bottom"/>
          </w:tcPr>
          <w:p w:rsidR="0040314C" w:rsidRPr="0040314C" w:rsidRDefault="0040314C" w:rsidP="0040314C">
            <w:pPr>
              <w:spacing w:line="240" w:lineRule="auto"/>
              <w:jc w:val="center"/>
              <w:rPr>
                <w:rFonts w:ascii="Arial" w:eastAsia="Times New Roman" w:hAnsi="Arial" w:cs="Arial"/>
                <w:b/>
                <w:sz w:val="20"/>
                <w:szCs w:val="20"/>
                <w:lang w:eastAsia="zh-CN"/>
              </w:rPr>
            </w:pPr>
            <w:r w:rsidRPr="0040314C">
              <w:rPr>
                <w:rFonts w:ascii="Arial" w:eastAsia="Times New Roman" w:hAnsi="Arial" w:cs="Arial"/>
                <w:b/>
                <w:sz w:val="20"/>
                <w:szCs w:val="20"/>
                <w:lang w:eastAsia="zh-CN"/>
              </w:rPr>
              <w:t>SES</w:t>
            </w:r>
          </w:p>
        </w:tc>
        <w:tc>
          <w:tcPr>
            <w:tcW w:w="3240" w:type="dxa"/>
            <w:gridSpan w:val="3"/>
            <w:vAlign w:val="bottom"/>
          </w:tcPr>
          <w:p w:rsidR="0040314C" w:rsidRPr="0040314C" w:rsidRDefault="0040314C" w:rsidP="0040314C">
            <w:pPr>
              <w:spacing w:line="240" w:lineRule="auto"/>
              <w:jc w:val="center"/>
              <w:rPr>
                <w:rFonts w:ascii="Arial" w:eastAsia="Times New Roman" w:hAnsi="Arial" w:cs="Arial"/>
                <w:b/>
                <w:sz w:val="20"/>
                <w:szCs w:val="20"/>
                <w:lang w:eastAsia="zh-CN"/>
              </w:rPr>
            </w:pPr>
            <w:r w:rsidRPr="0040314C">
              <w:rPr>
                <w:rFonts w:ascii="Arial" w:eastAsia="Times New Roman" w:hAnsi="Arial" w:cs="Arial"/>
                <w:b/>
                <w:sz w:val="20"/>
                <w:szCs w:val="20"/>
                <w:lang w:eastAsia="zh-CN"/>
              </w:rPr>
              <w:t>LES</w:t>
            </w:r>
          </w:p>
        </w:tc>
      </w:tr>
      <w:tr w:rsidR="0040314C" w:rsidRPr="00D8202E" w:rsidTr="0040314C">
        <w:trPr>
          <w:trHeight w:val="255"/>
        </w:trPr>
        <w:tc>
          <w:tcPr>
            <w:tcW w:w="1350" w:type="dxa"/>
            <w:shd w:val="clear" w:color="auto" w:fill="auto"/>
            <w:noWrap/>
            <w:vAlign w:val="bottom"/>
          </w:tcPr>
          <w:p w:rsidR="0040314C" w:rsidRPr="00D8202E" w:rsidRDefault="0040314C" w:rsidP="0040314C">
            <w:pPr>
              <w:spacing w:line="240" w:lineRule="auto"/>
              <w:rPr>
                <w:rFonts w:ascii="Arial" w:eastAsia="Times New Roman" w:hAnsi="Arial" w:cs="Arial"/>
                <w:sz w:val="20"/>
                <w:szCs w:val="20"/>
                <w:lang w:eastAsia="zh-CN"/>
              </w:rPr>
            </w:pPr>
            <w:r>
              <w:rPr>
                <w:rFonts w:ascii="Arial" w:eastAsia="Times New Roman" w:hAnsi="Arial" w:cs="Arial"/>
                <w:sz w:val="20"/>
                <w:szCs w:val="20"/>
                <w:lang w:eastAsia="zh-CN"/>
              </w:rPr>
              <w:t>Statistic</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2000-2011</w:t>
            </w:r>
          </w:p>
        </w:tc>
        <w:tc>
          <w:tcPr>
            <w:tcW w:w="117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2002-2011</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2004-2011</w:t>
            </w:r>
          </w:p>
        </w:tc>
        <w:tc>
          <w:tcPr>
            <w:tcW w:w="1170" w:type="dxa"/>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2000-2011</w:t>
            </w:r>
          </w:p>
        </w:tc>
        <w:tc>
          <w:tcPr>
            <w:tcW w:w="990" w:type="dxa"/>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2002-2011</w:t>
            </w:r>
          </w:p>
        </w:tc>
        <w:tc>
          <w:tcPr>
            <w:tcW w:w="1080" w:type="dxa"/>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2004-2011</w:t>
            </w:r>
          </w:p>
        </w:tc>
      </w:tr>
      <w:tr w:rsidR="0040314C" w:rsidRPr="00D8202E" w:rsidTr="0040314C">
        <w:trPr>
          <w:trHeight w:val="255"/>
        </w:trPr>
        <w:tc>
          <w:tcPr>
            <w:tcW w:w="1350" w:type="dxa"/>
            <w:shd w:val="clear" w:color="auto" w:fill="auto"/>
            <w:noWrap/>
            <w:vAlign w:val="bottom"/>
          </w:tcPr>
          <w:p w:rsidR="0040314C" w:rsidRPr="00D8202E"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MAE</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73.2</w:t>
            </w:r>
          </w:p>
        </w:tc>
        <w:tc>
          <w:tcPr>
            <w:tcW w:w="117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73.2</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73.2</w:t>
            </w:r>
          </w:p>
        </w:tc>
        <w:tc>
          <w:tcPr>
            <w:tcW w:w="117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15.2</w:t>
            </w:r>
          </w:p>
        </w:tc>
        <w:tc>
          <w:tcPr>
            <w:tcW w:w="99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15.2</w:t>
            </w:r>
          </w:p>
        </w:tc>
        <w:tc>
          <w:tcPr>
            <w:tcW w:w="108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15.2</w:t>
            </w:r>
          </w:p>
        </w:tc>
      </w:tr>
      <w:tr w:rsidR="0040314C" w:rsidRPr="00D8202E" w:rsidTr="0040314C">
        <w:trPr>
          <w:trHeight w:val="255"/>
        </w:trPr>
        <w:tc>
          <w:tcPr>
            <w:tcW w:w="1350" w:type="dxa"/>
            <w:shd w:val="clear" w:color="auto" w:fill="auto"/>
            <w:noWrap/>
            <w:vAlign w:val="bottom"/>
          </w:tcPr>
          <w:p w:rsidR="0040314C" w:rsidRPr="00D8202E"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RMSE</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75.1</w:t>
            </w:r>
          </w:p>
        </w:tc>
        <w:tc>
          <w:tcPr>
            <w:tcW w:w="117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75.1</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75.1</w:t>
            </w:r>
          </w:p>
        </w:tc>
        <w:tc>
          <w:tcPr>
            <w:tcW w:w="117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21.7</w:t>
            </w:r>
          </w:p>
        </w:tc>
        <w:tc>
          <w:tcPr>
            <w:tcW w:w="99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21.7</w:t>
            </w:r>
          </w:p>
        </w:tc>
        <w:tc>
          <w:tcPr>
            <w:tcW w:w="108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21.7</w:t>
            </w:r>
          </w:p>
        </w:tc>
      </w:tr>
      <w:tr w:rsidR="0040314C" w:rsidRPr="00D8202E" w:rsidTr="0040314C">
        <w:trPr>
          <w:trHeight w:val="255"/>
        </w:trPr>
        <w:tc>
          <w:tcPr>
            <w:tcW w:w="1350" w:type="dxa"/>
            <w:shd w:val="clear" w:color="auto" w:fill="auto"/>
            <w:noWrap/>
            <w:vAlign w:val="bottom"/>
          </w:tcPr>
          <w:p w:rsidR="0040314C" w:rsidRPr="00D8202E"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MAPE</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5.3</w:t>
            </w:r>
          </w:p>
        </w:tc>
        <w:tc>
          <w:tcPr>
            <w:tcW w:w="117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5.3</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5.3</w:t>
            </w:r>
          </w:p>
        </w:tc>
        <w:tc>
          <w:tcPr>
            <w:tcW w:w="117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w:t>
            </w:r>
          </w:p>
        </w:tc>
        <w:tc>
          <w:tcPr>
            <w:tcW w:w="99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w:t>
            </w:r>
          </w:p>
        </w:tc>
        <w:tc>
          <w:tcPr>
            <w:tcW w:w="108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w:t>
            </w:r>
          </w:p>
        </w:tc>
      </w:tr>
      <w:tr w:rsidR="0040314C" w:rsidRPr="00D8202E" w:rsidTr="0040314C">
        <w:trPr>
          <w:trHeight w:val="255"/>
        </w:trPr>
        <w:tc>
          <w:tcPr>
            <w:tcW w:w="1350" w:type="dxa"/>
            <w:shd w:val="clear" w:color="auto" w:fill="auto"/>
            <w:noWrap/>
            <w:vAlign w:val="bottom"/>
          </w:tcPr>
          <w:p w:rsidR="0040314C"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α</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117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117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99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108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r>
      <w:tr w:rsidR="0040314C" w:rsidRPr="00D8202E" w:rsidTr="0040314C">
        <w:trPr>
          <w:trHeight w:val="255"/>
        </w:trPr>
        <w:tc>
          <w:tcPr>
            <w:tcW w:w="1350" w:type="dxa"/>
            <w:shd w:val="clear" w:color="auto" w:fill="auto"/>
            <w:noWrap/>
            <w:vAlign w:val="bottom"/>
          </w:tcPr>
          <w:p w:rsidR="0040314C"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β</w:t>
            </w: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p>
        </w:tc>
        <w:tc>
          <w:tcPr>
            <w:tcW w:w="117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p>
        </w:tc>
        <w:tc>
          <w:tcPr>
            <w:tcW w:w="990" w:type="dxa"/>
            <w:shd w:val="clear" w:color="auto" w:fill="auto"/>
            <w:noWrap/>
            <w:vAlign w:val="bottom"/>
          </w:tcPr>
          <w:p w:rsidR="0040314C" w:rsidRPr="00D8202E" w:rsidRDefault="0040314C" w:rsidP="0040314C">
            <w:pPr>
              <w:spacing w:line="240" w:lineRule="auto"/>
              <w:jc w:val="center"/>
              <w:rPr>
                <w:rFonts w:ascii="Arial" w:eastAsia="Times New Roman" w:hAnsi="Arial" w:cs="Arial"/>
                <w:sz w:val="20"/>
                <w:szCs w:val="20"/>
                <w:lang w:eastAsia="zh-CN"/>
              </w:rPr>
            </w:pPr>
          </w:p>
        </w:tc>
        <w:tc>
          <w:tcPr>
            <w:tcW w:w="117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0.39</w:t>
            </w:r>
          </w:p>
        </w:tc>
        <w:tc>
          <w:tcPr>
            <w:tcW w:w="99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0.39</w:t>
            </w:r>
          </w:p>
        </w:tc>
        <w:tc>
          <w:tcPr>
            <w:tcW w:w="1080" w:type="dxa"/>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0.39</w:t>
            </w:r>
          </w:p>
        </w:tc>
      </w:tr>
      <w:tr w:rsidR="0040314C" w:rsidRPr="00D8202E" w:rsidTr="0040314C">
        <w:trPr>
          <w:trHeight w:val="255"/>
        </w:trPr>
        <w:tc>
          <w:tcPr>
            <w:tcW w:w="1350" w:type="dxa"/>
            <w:shd w:val="clear" w:color="auto" w:fill="auto"/>
            <w:noWrap/>
            <w:vAlign w:val="bottom"/>
          </w:tcPr>
          <w:p w:rsidR="0040314C"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95% PI</w:t>
            </w:r>
          </w:p>
          <w:p w:rsidR="0040314C"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F+/- value</w:t>
            </w:r>
          </w:p>
        </w:tc>
        <w:tc>
          <w:tcPr>
            <w:tcW w:w="990" w:type="dxa"/>
            <w:shd w:val="clear" w:color="auto" w:fill="auto"/>
            <w:noWrap/>
            <w:vAlign w:val="center"/>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42.4</w:t>
            </w:r>
          </w:p>
        </w:tc>
        <w:tc>
          <w:tcPr>
            <w:tcW w:w="1170" w:type="dxa"/>
            <w:shd w:val="clear" w:color="auto" w:fill="auto"/>
            <w:noWrap/>
            <w:vAlign w:val="center"/>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44.2</w:t>
            </w:r>
          </w:p>
        </w:tc>
        <w:tc>
          <w:tcPr>
            <w:tcW w:w="990" w:type="dxa"/>
            <w:shd w:val="clear" w:color="auto" w:fill="auto"/>
            <w:noWrap/>
            <w:vAlign w:val="center"/>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47.5</w:t>
            </w:r>
          </w:p>
        </w:tc>
        <w:tc>
          <w:tcPr>
            <w:tcW w:w="1170" w:type="dxa"/>
            <w:vAlign w:val="center"/>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37.4</w:t>
            </w:r>
          </w:p>
        </w:tc>
        <w:tc>
          <w:tcPr>
            <w:tcW w:w="990" w:type="dxa"/>
            <w:vAlign w:val="center"/>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41.4</w:t>
            </w:r>
          </w:p>
        </w:tc>
        <w:tc>
          <w:tcPr>
            <w:tcW w:w="1080" w:type="dxa"/>
            <w:vAlign w:val="center"/>
          </w:tcPr>
          <w:p w:rsidR="0040314C" w:rsidRPr="00D8202E"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45.8</w:t>
            </w:r>
          </w:p>
        </w:tc>
      </w:tr>
      <w:tr w:rsidR="0040314C" w:rsidRPr="00D8202E" w:rsidTr="0040314C">
        <w:trPr>
          <w:trHeight w:val="255"/>
        </w:trPr>
        <w:tc>
          <w:tcPr>
            <w:tcW w:w="1350" w:type="dxa"/>
            <w:shd w:val="clear" w:color="auto" w:fill="auto"/>
            <w:noWrap/>
            <w:vAlign w:val="bottom"/>
          </w:tcPr>
          <w:p w:rsidR="0040314C" w:rsidRDefault="0040314C" w:rsidP="0040314C">
            <w:pPr>
              <w:spacing w:line="240" w:lineRule="auto"/>
              <w:jc w:val="right"/>
              <w:rPr>
                <w:rFonts w:ascii="Arial" w:hAnsi="Arial" w:cs="Arial"/>
                <w:sz w:val="20"/>
                <w:szCs w:val="20"/>
                <w:lang w:eastAsia="zh-CN"/>
              </w:rPr>
            </w:pPr>
            <w:r>
              <w:rPr>
                <w:rFonts w:ascii="Arial" w:hAnsi="Arial" w:cs="Arial"/>
                <w:sz w:val="20"/>
                <w:szCs w:val="20"/>
                <w:lang w:eastAsia="zh-CN"/>
              </w:rPr>
              <w:t>Inside PI?</w:t>
            </w:r>
          </w:p>
        </w:tc>
        <w:tc>
          <w:tcPr>
            <w:tcW w:w="990" w:type="dxa"/>
            <w:shd w:val="clear" w:color="auto" w:fill="auto"/>
            <w:noWrap/>
            <w:vAlign w:val="bottom"/>
          </w:tcPr>
          <w:p w:rsidR="0040314C"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5/16</w:t>
            </w:r>
          </w:p>
        </w:tc>
        <w:tc>
          <w:tcPr>
            <w:tcW w:w="1170" w:type="dxa"/>
            <w:shd w:val="clear" w:color="auto" w:fill="auto"/>
            <w:noWrap/>
            <w:vAlign w:val="bottom"/>
          </w:tcPr>
          <w:p w:rsidR="0040314C"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5/16</w:t>
            </w:r>
          </w:p>
        </w:tc>
        <w:tc>
          <w:tcPr>
            <w:tcW w:w="990" w:type="dxa"/>
            <w:shd w:val="clear" w:color="auto" w:fill="auto"/>
            <w:noWrap/>
            <w:vAlign w:val="bottom"/>
          </w:tcPr>
          <w:p w:rsidR="0040314C"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6/16</w:t>
            </w:r>
          </w:p>
        </w:tc>
        <w:tc>
          <w:tcPr>
            <w:tcW w:w="1170" w:type="dxa"/>
          </w:tcPr>
          <w:p w:rsidR="0040314C"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13/16</w:t>
            </w:r>
          </w:p>
        </w:tc>
        <w:tc>
          <w:tcPr>
            <w:tcW w:w="990" w:type="dxa"/>
          </w:tcPr>
          <w:p w:rsidR="0040314C"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13/16</w:t>
            </w:r>
          </w:p>
        </w:tc>
        <w:tc>
          <w:tcPr>
            <w:tcW w:w="1080" w:type="dxa"/>
          </w:tcPr>
          <w:p w:rsidR="0040314C" w:rsidRDefault="0040314C" w:rsidP="0040314C">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14/16</w:t>
            </w:r>
          </w:p>
        </w:tc>
      </w:tr>
    </w:tbl>
    <w:p w:rsidR="00A21FAC" w:rsidRDefault="00A21FAC" w:rsidP="00861391">
      <w:pPr>
        <w:rPr>
          <w:lang w:eastAsia="zh-CN"/>
        </w:rPr>
      </w:pPr>
    </w:p>
    <w:p w:rsidR="0040314C" w:rsidRDefault="0040314C" w:rsidP="00861391">
      <w:r>
        <w:lastRenderedPageBreak/>
        <w:t>Data fitted for three periods, all ending in 2011Q4. Two complete years of data were removed each time.</w:t>
      </w:r>
    </w:p>
    <w:p w:rsidR="00861391" w:rsidRPr="00771AC9" w:rsidRDefault="0040314C" w:rsidP="00861391">
      <w:pPr>
        <w:rPr>
          <w:sz w:val="22"/>
        </w:rPr>
      </w:pPr>
      <w:r w:rsidRPr="00771AC9">
        <w:rPr>
          <w:sz w:val="22"/>
        </w:rPr>
        <w:t xml:space="preserve">The SES totally fails to keep up with sales growth and the performance is poor; LES does much better. Note that the fits are identical because α = 1 but the PIs widen when the early observations are removed because those observations are so small. </w:t>
      </w:r>
      <w:r w:rsidR="00224B20" w:rsidRPr="00771AC9">
        <w:rPr>
          <w:sz w:val="22"/>
        </w:rPr>
        <w:t xml:space="preserve">The LES </w:t>
      </w:r>
      <w:r w:rsidRPr="00771AC9">
        <w:rPr>
          <w:sz w:val="22"/>
        </w:rPr>
        <w:t xml:space="preserve">provides much better coverage even though the PIs are narrower. </w:t>
      </w:r>
    </w:p>
    <w:p w:rsidR="00771AC9" w:rsidRDefault="00086E3B" w:rsidP="00771AC9">
      <w:pPr>
        <w:pStyle w:val="Heading3"/>
        <w:rPr>
          <w:lang w:eastAsia="zh-CN"/>
        </w:rPr>
      </w:pPr>
      <w:r w:rsidRPr="005B5E96">
        <w:t>3</w:t>
      </w:r>
      <w:r w:rsidR="008E7F1D" w:rsidRPr="005B5E96">
        <w:t>.11</w:t>
      </w:r>
      <w:r w:rsidR="00FB4864">
        <w:t>/3.12/3.</w:t>
      </w:r>
      <w:r w:rsidR="00203AC1">
        <w:t>15/3.16</w:t>
      </w:r>
      <w:r w:rsidR="005523C7">
        <w:t xml:space="preserve"> </w:t>
      </w:r>
      <w:r w:rsidR="007E5118">
        <w:rPr>
          <w:rFonts w:hint="eastAsia"/>
          <w:lang w:eastAsia="zh-CN"/>
        </w:rPr>
        <w:t xml:space="preserve"> </w:t>
      </w:r>
    </w:p>
    <w:p w:rsidR="007E5118" w:rsidRPr="00771AC9" w:rsidRDefault="00FB4864" w:rsidP="00771AC9">
      <w:pPr>
        <w:pStyle w:val="ListParagraph"/>
        <w:numPr>
          <w:ilvl w:val="0"/>
          <w:numId w:val="1"/>
        </w:numPr>
        <w:spacing w:line="240" w:lineRule="auto"/>
        <w:rPr>
          <w:sz w:val="22"/>
          <w:lang w:eastAsia="zh-CN"/>
        </w:rPr>
      </w:pPr>
      <w:r w:rsidRPr="00771AC9">
        <w:rPr>
          <w:sz w:val="22"/>
          <w:lang w:eastAsia="zh-CN"/>
        </w:rPr>
        <w:t>Statistics apply to the hold-out sample</w:t>
      </w:r>
    </w:p>
    <w:tbl>
      <w:tblPr>
        <w:tblW w:w="671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90"/>
        <w:gridCol w:w="1170"/>
        <w:gridCol w:w="990"/>
        <w:gridCol w:w="1105"/>
        <w:gridCol w:w="1106"/>
      </w:tblGrid>
      <w:tr w:rsidR="005B5E96" w:rsidRPr="00D8202E" w:rsidTr="005B5E96">
        <w:trPr>
          <w:trHeight w:val="255"/>
        </w:trPr>
        <w:tc>
          <w:tcPr>
            <w:tcW w:w="1350" w:type="dxa"/>
            <w:shd w:val="clear" w:color="auto" w:fill="auto"/>
            <w:noWrap/>
            <w:vAlign w:val="bottom"/>
          </w:tcPr>
          <w:p w:rsidR="005B5E96" w:rsidRPr="00D8202E" w:rsidRDefault="005B5E96" w:rsidP="005B5E96">
            <w:pPr>
              <w:spacing w:line="240" w:lineRule="auto"/>
              <w:rPr>
                <w:rFonts w:ascii="Arial" w:eastAsia="Times New Roman" w:hAnsi="Arial" w:cs="Arial"/>
                <w:sz w:val="20"/>
                <w:szCs w:val="20"/>
                <w:lang w:eastAsia="zh-CN"/>
              </w:rPr>
            </w:pPr>
            <w:r>
              <w:rPr>
                <w:rFonts w:ascii="Arial" w:eastAsia="Times New Roman" w:hAnsi="Arial" w:cs="Arial"/>
                <w:sz w:val="20"/>
                <w:szCs w:val="20"/>
                <w:lang w:eastAsia="zh-CN"/>
              </w:rPr>
              <w:t>Statistic</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1963-2003</w:t>
            </w:r>
          </w:p>
        </w:tc>
        <w:tc>
          <w:tcPr>
            <w:tcW w:w="117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1963-2010</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1986-2003</w:t>
            </w:r>
          </w:p>
        </w:tc>
        <w:tc>
          <w:tcPr>
            <w:tcW w:w="1105" w:type="dxa"/>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1986-2010</w:t>
            </w:r>
          </w:p>
        </w:tc>
        <w:tc>
          <w:tcPr>
            <w:tcW w:w="1106" w:type="dxa"/>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1963-2003_Log</w:t>
            </w:r>
          </w:p>
        </w:tc>
      </w:tr>
      <w:tr w:rsidR="005B5E96" w:rsidRPr="00D8202E" w:rsidTr="005B5E96">
        <w:trPr>
          <w:trHeight w:val="255"/>
        </w:trPr>
        <w:tc>
          <w:tcPr>
            <w:tcW w:w="1350" w:type="dxa"/>
            <w:shd w:val="clear" w:color="auto" w:fill="auto"/>
            <w:noWrap/>
            <w:vAlign w:val="bottom"/>
          </w:tcPr>
          <w:p w:rsidR="005B5E96"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Holdout</w:t>
            </w:r>
          </w:p>
        </w:tc>
        <w:tc>
          <w:tcPr>
            <w:tcW w:w="990" w:type="dxa"/>
            <w:shd w:val="clear" w:color="auto" w:fill="auto"/>
            <w:noWrap/>
            <w:vAlign w:val="bottom"/>
          </w:tcPr>
          <w:p w:rsidR="005B5E96"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w:t>
            </w:r>
          </w:p>
        </w:tc>
        <w:tc>
          <w:tcPr>
            <w:tcW w:w="1170" w:type="dxa"/>
            <w:shd w:val="clear" w:color="auto" w:fill="auto"/>
            <w:noWrap/>
            <w:vAlign w:val="bottom"/>
          </w:tcPr>
          <w:p w:rsidR="005B5E96"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w:t>
            </w:r>
          </w:p>
        </w:tc>
        <w:tc>
          <w:tcPr>
            <w:tcW w:w="990" w:type="dxa"/>
            <w:shd w:val="clear" w:color="auto" w:fill="auto"/>
            <w:noWrap/>
            <w:vAlign w:val="bottom"/>
          </w:tcPr>
          <w:p w:rsidR="005B5E96"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w:t>
            </w:r>
          </w:p>
        </w:tc>
        <w:tc>
          <w:tcPr>
            <w:tcW w:w="1105"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w:t>
            </w:r>
          </w:p>
        </w:tc>
        <w:tc>
          <w:tcPr>
            <w:tcW w:w="1106"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12</w:t>
            </w:r>
          </w:p>
        </w:tc>
      </w:tr>
      <w:tr w:rsidR="005B5E96" w:rsidRPr="00D8202E" w:rsidTr="005B5E96">
        <w:trPr>
          <w:trHeight w:val="255"/>
        </w:trPr>
        <w:tc>
          <w:tcPr>
            <w:tcW w:w="1350" w:type="dxa"/>
            <w:shd w:val="clear" w:color="auto" w:fill="auto"/>
            <w:noWrap/>
            <w:vAlign w:val="bottom"/>
          </w:tcPr>
          <w:p w:rsidR="005B5E96" w:rsidRPr="00D8202E"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MAE</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1666</w:t>
            </w:r>
          </w:p>
        </w:tc>
        <w:tc>
          <w:tcPr>
            <w:tcW w:w="117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1706</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1697</w:t>
            </w:r>
          </w:p>
        </w:tc>
        <w:tc>
          <w:tcPr>
            <w:tcW w:w="1105"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617</w:t>
            </w:r>
          </w:p>
        </w:tc>
        <w:tc>
          <w:tcPr>
            <w:tcW w:w="1106"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1829</w:t>
            </w:r>
          </w:p>
        </w:tc>
      </w:tr>
      <w:tr w:rsidR="005B5E96" w:rsidRPr="00D8202E" w:rsidTr="005B5E96">
        <w:trPr>
          <w:trHeight w:val="255"/>
        </w:trPr>
        <w:tc>
          <w:tcPr>
            <w:tcW w:w="1350" w:type="dxa"/>
            <w:shd w:val="clear" w:color="auto" w:fill="auto"/>
            <w:noWrap/>
            <w:vAlign w:val="bottom"/>
          </w:tcPr>
          <w:p w:rsidR="005B5E96" w:rsidRPr="00D8202E"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RMSE</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2362</w:t>
            </w:r>
          </w:p>
        </w:tc>
        <w:tc>
          <w:tcPr>
            <w:tcW w:w="117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2385</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2474</w:t>
            </w:r>
          </w:p>
        </w:tc>
        <w:tc>
          <w:tcPr>
            <w:tcW w:w="1105"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680</w:t>
            </w:r>
          </w:p>
        </w:tc>
        <w:tc>
          <w:tcPr>
            <w:tcW w:w="1106"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2588</w:t>
            </w:r>
          </w:p>
        </w:tc>
      </w:tr>
      <w:tr w:rsidR="005B5E96" w:rsidRPr="00D8202E" w:rsidTr="005B5E96">
        <w:trPr>
          <w:trHeight w:val="255"/>
        </w:trPr>
        <w:tc>
          <w:tcPr>
            <w:tcW w:w="1350" w:type="dxa"/>
            <w:shd w:val="clear" w:color="auto" w:fill="auto"/>
            <w:noWrap/>
            <w:vAlign w:val="bottom"/>
          </w:tcPr>
          <w:p w:rsidR="005B5E96" w:rsidRPr="00D8202E"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MAPE</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9.2</w:t>
            </w:r>
          </w:p>
        </w:tc>
        <w:tc>
          <w:tcPr>
            <w:tcW w:w="117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9.5</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9.4</w:t>
            </w:r>
          </w:p>
        </w:tc>
        <w:tc>
          <w:tcPr>
            <w:tcW w:w="1105"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4.0</w:t>
            </w:r>
          </w:p>
        </w:tc>
        <w:tc>
          <w:tcPr>
            <w:tcW w:w="1106"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10.3</w:t>
            </w:r>
          </w:p>
        </w:tc>
      </w:tr>
      <w:tr w:rsidR="005B5E96" w:rsidRPr="00D8202E" w:rsidTr="005B5E96">
        <w:trPr>
          <w:trHeight w:val="255"/>
        </w:trPr>
        <w:tc>
          <w:tcPr>
            <w:tcW w:w="1350" w:type="dxa"/>
            <w:shd w:val="clear" w:color="auto" w:fill="auto"/>
            <w:noWrap/>
            <w:vAlign w:val="bottom"/>
          </w:tcPr>
          <w:p w:rsidR="005B5E96"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α</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117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1105"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c>
          <w:tcPr>
            <w:tcW w:w="1106"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r>
      <w:tr w:rsidR="005B5E96" w:rsidRPr="00D8202E" w:rsidTr="005B5E96">
        <w:trPr>
          <w:trHeight w:val="255"/>
        </w:trPr>
        <w:tc>
          <w:tcPr>
            <w:tcW w:w="1350" w:type="dxa"/>
            <w:shd w:val="clear" w:color="auto" w:fill="auto"/>
            <w:noWrap/>
            <w:vAlign w:val="bottom"/>
          </w:tcPr>
          <w:p w:rsidR="005B5E96"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β</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0.0014</w:t>
            </w:r>
          </w:p>
        </w:tc>
        <w:tc>
          <w:tcPr>
            <w:tcW w:w="117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0.00</w:t>
            </w:r>
          </w:p>
        </w:tc>
        <w:tc>
          <w:tcPr>
            <w:tcW w:w="990" w:type="dxa"/>
            <w:shd w:val="clear" w:color="auto" w:fill="auto"/>
            <w:noWrap/>
            <w:vAlign w:val="bottom"/>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0.12</w:t>
            </w:r>
          </w:p>
        </w:tc>
        <w:tc>
          <w:tcPr>
            <w:tcW w:w="1105"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0.047</w:t>
            </w:r>
          </w:p>
        </w:tc>
        <w:tc>
          <w:tcPr>
            <w:tcW w:w="1106" w:type="dxa"/>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0.098</w:t>
            </w:r>
          </w:p>
        </w:tc>
      </w:tr>
      <w:tr w:rsidR="005B5E96" w:rsidRPr="00D8202E" w:rsidTr="005B5E96">
        <w:trPr>
          <w:trHeight w:val="255"/>
        </w:trPr>
        <w:tc>
          <w:tcPr>
            <w:tcW w:w="1350" w:type="dxa"/>
            <w:shd w:val="clear" w:color="auto" w:fill="auto"/>
            <w:noWrap/>
            <w:vAlign w:val="bottom"/>
          </w:tcPr>
          <w:p w:rsidR="005B5E96"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95% PI</w:t>
            </w:r>
          </w:p>
          <w:p w:rsidR="005B5E96"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F+/- value</w:t>
            </w:r>
          </w:p>
        </w:tc>
        <w:tc>
          <w:tcPr>
            <w:tcW w:w="990" w:type="dxa"/>
            <w:shd w:val="clear" w:color="auto" w:fill="auto"/>
            <w:noWrap/>
            <w:vAlign w:val="center"/>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2089</w:t>
            </w:r>
          </w:p>
        </w:tc>
        <w:tc>
          <w:tcPr>
            <w:tcW w:w="1170" w:type="dxa"/>
            <w:shd w:val="clear" w:color="auto" w:fill="auto"/>
            <w:noWrap/>
            <w:vAlign w:val="center"/>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2458</w:t>
            </w:r>
          </w:p>
        </w:tc>
        <w:tc>
          <w:tcPr>
            <w:tcW w:w="990" w:type="dxa"/>
            <w:shd w:val="clear" w:color="auto" w:fill="auto"/>
            <w:noWrap/>
            <w:vAlign w:val="center"/>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2683</w:t>
            </w:r>
          </w:p>
        </w:tc>
        <w:tc>
          <w:tcPr>
            <w:tcW w:w="1105" w:type="dxa"/>
            <w:vAlign w:val="center"/>
          </w:tcPr>
          <w:p w:rsidR="005B5E96" w:rsidRPr="00D8202E" w:rsidRDefault="005B5E96"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4136</w:t>
            </w:r>
          </w:p>
        </w:tc>
        <w:tc>
          <w:tcPr>
            <w:tcW w:w="1106" w:type="dxa"/>
            <w:vAlign w:val="center"/>
          </w:tcPr>
          <w:p w:rsidR="005B5E96" w:rsidRPr="00D8202E" w:rsidRDefault="00C731AB"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0.312*</w:t>
            </w:r>
          </w:p>
        </w:tc>
      </w:tr>
      <w:tr w:rsidR="005B5E96" w:rsidRPr="00D8202E" w:rsidTr="005B5E96">
        <w:trPr>
          <w:trHeight w:val="255"/>
        </w:trPr>
        <w:tc>
          <w:tcPr>
            <w:tcW w:w="1350" w:type="dxa"/>
            <w:shd w:val="clear" w:color="auto" w:fill="auto"/>
            <w:noWrap/>
            <w:vAlign w:val="bottom"/>
          </w:tcPr>
          <w:p w:rsidR="005B5E96" w:rsidRDefault="005B5E96" w:rsidP="005B5E96">
            <w:pPr>
              <w:spacing w:line="240" w:lineRule="auto"/>
              <w:jc w:val="right"/>
              <w:rPr>
                <w:rFonts w:ascii="Arial" w:hAnsi="Arial" w:cs="Arial"/>
                <w:sz w:val="20"/>
                <w:szCs w:val="20"/>
                <w:lang w:eastAsia="zh-CN"/>
              </w:rPr>
            </w:pPr>
            <w:r>
              <w:rPr>
                <w:rFonts w:ascii="Arial" w:hAnsi="Arial" w:cs="Arial"/>
                <w:sz w:val="20"/>
                <w:szCs w:val="20"/>
                <w:lang w:eastAsia="zh-CN"/>
              </w:rPr>
              <w:t>Inside PI?</w:t>
            </w:r>
          </w:p>
        </w:tc>
        <w:tc>
          <w:tcPr>
            <w:tcW w:w="990" w:type="dxa"/>
            <w:shd w:val="clear" w:color="auto" w:fill="auto"/>
            <w:noWrap/>
            <w:vAlign w:val="bottom"/>
          </w:tcPr>
          <w:p w:rsidR="005B5E96" w:rsidRDefault="00C731AB"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9/12</w:t>
            </w:r>
          </w:p>
        </w:tc>
        <w:tc>
          <w:tcPr>
            <w:tcW w:w="1170" w:type="dxa"/>
            <w:shd w:val="clear" w:color="auto" w:fill="auto"/>
            <w:noWrap/>
            <w:vAlign w:val="bottom"/>
          </w:tcPr>
          <w:p w:rsidR="005B5E96" w:rsidRDefault="00C731AB"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5/5</w:t>
            </w:r>
          </w:p>
        </w:tc>
        <w:tc>
          <w:tcPr>
            <w:tcW w:w="990" w:type="dxa"/>
            <w:shd w:val="clear" w:color="auto" w:fill="auto"/>
            <w:noWrap/>
            <w:vAlign w:val="bottom"/>
          </w:tcPr>
          <w:p w:rsidR="005B5E96" w:rsidRDefault="00C731AB"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9/12</w:t>
            </w:r>
          </w:p>
        </w:tc>
        <w:tc>
          <w:tcPr>
            <w:tcW w:w="1105" w:type="dxa"/>
          </w:tcPr>
          <w:p w:rsidR="005B5E96" w:rsidRDefault="00C731AB"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5/5</w:t>
            </w:r>
          </w:p>
        </w:tc>
        <w:tc>
          <w:tcPr>
            <w:tcW w:w="1106" w:type="dxa"/>
          </w:tcPr>
          <w:p w:rsidR="005B5E96" w:rsidRDefault="00FB4864"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11/12</w:t>
            </w:r>
          </w:p>
        </w:tc>
      </w:tr>
    </w:tbl>
    <w:p w:rsidR="005B5E96" w:rsidRDefault="005B5E96" w:rsidP="0094418E">
      <w:pPr>
        <w:rPr>
          <w:lang w:eastAsia="zh-CN"/>
        </w:rPr>
      </w:pPr>
    </w:p>
    <w:p w:rsidR="00203AC1" w:rsidRPr="00771AC9" w:rsidRDefault="00203AC1" w:rsidP="00FB4864">
      <w:pPr>
        <w:pStyle w:val="ListParagraph"/>
        <w:numPr>
          <w:ilvl w:val="0"/>
          <w:numId w:val="1"/>
        </w:numPr>
        <w:spacing w:line="240" w:lineRule="auto"/>
        <w:rPr>
          <w:sz w:val="22"/>
          <w:lang w:eastAsia="zh-CN"/>
        </w:rPr>
      </w:pPr>
      <w:r w:rsidRPr="00771AC9">
        <w:rPr>
          <w:sz w:val="22"/>
          <w:lang w:eastAsia="zh-CN"/>
        </w:rPr>
        <w:t>The log interval, after transformation, produces multipliers of 0.732 and 1.366.</w:t>
      </w:r>
    </w:p>
    <w:p w:rsidR="00FB4864" w:rsidRPr="00771AC9" w:rsidRDefault="00FB4864" w:rsidP="00FB4864">
      <w:pPr>
        <w:pStyle w:val="ListParagraph"/>
        <w:numPr>
          <w:ilvl w:val="0"/>
          <w:numId w:val="1"/>
        </w:numPr>
        <w:spacing w:line="240" w:lineRule="auto"/>
        <w:rPr>
          <w:sz w:val="22"/>
          <w:lang w:eastAsia="zh-CN"/>
        </w:rPr>
      </w:pPr>
      <w:r w:rsidRPr="00771AC9">
        <w:rPr>
          <w:sz w:val="22"/>
          <w:lang w:eastAsia="zh-CN"/>
        </w:rPr>
        <w:t>Eliminating the first part of the series has little impact on the parameter estimates or on the (point) forecast performance However the PIs are wider because the variance is estimated using errors that are larger in absolute value in the later part of the series.</w:t>
      </w:r>
    </w:p>
    <w:p w:rsidR="00FB4864" w:rsidRPr="00771AC9" w:rsidRDefault="00FB4864" w:rsidP="00FB4864">
      <w:pPr>
        <w:pStyle w:val="ListParagraph"/>
        <w:numPr>
          <w:ilvl w:val="0"/>
          <w:numId w:val="1"/>
        </w:numPr>
        <w:spacing w:line="240" w:lineRule="auto"/>
        <w:rPr>
          <w:sz w:val="22"/>
          <w:lang w:eastAsia="zh-CN"/>
        </w:rPr>
      </w:pPr>
      <w:r w:rsidRPr="00771AC9">
        <w:rPr>
          <w:sz w:val="22"/>
          <w:lang w:eastAsia="zh-CN"/>
        </w:rPr>
        <w:t>The forecasts for 2004-2006 were wide of the mark, which explains the differences in coverage. The log coverage is better because the intervals are wider.</w:t>
      </w:r>
    </w:p>
    <w:p w:rsidR="00FB4864" w:rsidRPr="00771AC9" w:rsidRDefault="00FB4864" w:rsidP="00FB4864">
      <w:pPr>
        <w:pStyle w:val="ListParagraph"/>
        <w:numPr>
          <w:ilvl w:val="0"/>
          <w:numId w:val="1"/>
        </w:numPr>
        <w:spacing w:line="240" w:lineRule="auto"/>
        <w:rPr>
          <w:sz w:val="22"/>
          <w:lang w:eastAsia="zh-CN"/>
        </w:rPr>
      </w:pPr>
      <w:r w:rsidRPr="00771AC9">
        <w:rPr>
          <w:sz w:val="22"/>
          <w:lang w:eastAsia="zh-CN"/>
        </w:rPr>
        <w:t>The damped trend method reduces to to LES (phi = 1), as does the Box-Cox transform.</w:t>
      </w:r>
    </w:p>
    <w:p w:rsidR="00203AC1" w:rsidRPr="00771AC9" w:rsidRDefault="00203AC1" w:rsidP="00FB4864">
      <w:pPr>
        <w:pStyle w:val="ListParagraph"/>
        <w:numPr>
          <w:ilvl w:val="0"/>
          <w:numId w:val="1"/>
        </w:numPr>
        <w:spacing w:line="240" w:lineRule="auto"/>
        <w:rPr>
          <w:sz w:val="22"/>
          <w:lang w:eastAsia="zh-CN"/>
        </w:rPr>
      </w:pPr>
      <w:r w:rsidRPr="00771AC9">
        <w:rPr>
          <w:sz w:val="22"/>
          <w:lang w:eastAsia="zh-CN"/>
        </w:rPr>
        <w:t xml:space="preserve">The resulting estimates are close to the random walk, so the </w:t>
      </w:r>
      <w:r w:rsidRPr="00771AC9">
        <w:rPr>
          <w:i/>
          <w:sz w:val="22"/>
          <w:lang w:eastAsia="zh-CN"/>
        </w:rPr>
        <w:t>RelMAE</w:t>
      </w:r>
      <w:r w:rsidRPr="00771AC9">
        <w:rPr>
          <w:sz w:val="22"/>
          <w:lang w:eastAsia="zh-CN"/>
        </w:rPr>
        <w:t xml:space="preserve"> values are very close to 1.0.</w:t>
      </w:r>
    </w:p>
    <w:p w:rsidR="00086E3B" w:rsidRPr="00771AC9" w:rsidRDefault="0066775D">
      <w:pPr>
        <w:rPr>
          <w:sz w:val="22"/>
        </w:rPr>
      </w:pPr>
      <w:r w:rsidRPr="00771AC9">
        <w:rPr>
          <w:sz w:val="22"/>
        </w:rPr>
        <w:t xml:space="preserve"> </w:t>
      </w:r>
    </w:p>
    <w:p w:rsidR="009B3A8C" w:rsidRDefault="009B3A8C" w:rsidP="0094418E"/>
    <w:p w:rsidR="00E46225" w:rsidRDefault="00E46225" w:rsidP="00771AC9">
      <w:pPr>
        <w:pStyle w:val="Heading3"/>
      </w:pPr>
      <w:r>
        <w:t>3.13/3.14</w:t>
      </w:r>
    </w:p>
    <w:tbl>
      <w:tblPr>
        <w:tblW w:w="5182"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220"/>
        <w:gridCol w:w="1276"/>
        <w:gridCol w:w="1336"/>
      </w:tblGrid>
      <w:tr w:rsidR="00E46225" w:rsidRPr="00D8202E" w:rsidTr="005B5E96">
        <w:trPr>
          <w:trHeight w:val="255"/>
        </w:trPr>
        <w:tc>
          <w:tcPr>
            <w:tcW w:w="1350" w:type="dxa"/>
            <w:shd w:val="clear" w:color="auto" w:fill="auto"/>
            <w:noWrap/>
            <w:vAlign w:val="bottom"/>
          </w:tcPr>
          <w:p w:rsidR="00E46225" w:rsidRPr="00D8202E" w:rsidRDefault="00E46225" w:rsidP="005B5E96">
            <w:pPr>
              <w:spacing w:line="240" w:lineRule="auto"/>
              <w:rPr>
                <w:rFonts w:ascii="Arial" w:eastAsia="Times New Roman" w:hAnsi="Arial" w:cs="Arial"/>
                <w:sz w:val="20"/>
                <w:szCs w:val="20"/>
                <w:lang w:eastAsia="zh-CN"/>
              </w:rPr>
            </w:pPr>
            <w:r>
              <w:rPr>
                <w:rFonts w:ascii="Arial" w:eastAsia="Times New Roman" w:hAnsi="Arial" w:cs="Arial"/>
                <w:sz w:val="20"/>
                <w:szCs w:val="20"/>
                <w:lang w:eastAsia="zh-CN"/>
              </w:rPr>
              <w:t>Statistic</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LES</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DES</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LES+Log</w:t>
            </w:r>
          </w:p>
        </w:tc>
      </w:tr>
      <w:tr w:rsidR="00E46225" w:rsidRPr="00D8202E" w:rsidTr="005B5E96">
        <w:trPr>
          <w:trHeight w:val="255"/>
        </w:trPr>
        <w:tc>
          <w:tcPr>
            <w:tcW w:w="1350" w:type="dxa"/>
            <w:shd w:val="clear" w:color="auto" w:fill="auto"/>
            <w:noWrap/>
            <w:vAlign w:val="bottom"/>
          </w:tcPr>
          <w:p w:rsidR="00E46225" w:rsidRPr="00D8202E"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MAE</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23.7</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22.6</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25.3</w:t>
            </w:r>
          </w:p>
        </w:tc>
      </w:tr>
      <w:tr w:rsidR="00E46225" w:rsidRPr="00D8202E" w:rsidTr="005B5E96">
        <w:trPr>
          <w:trHeight w:val="255"/>
        </w:trPr>
        <w:tc>
          <w:tcPr>
            <w:tcW w:w="1350" w:type="dxa"/>
            <w:shd w:val="clear" w:color="auto" w:fill="auto"/>
            <w:noWrap/>
            <w:vAlign w:val="bottom"/>
          </w:tcPr>
          <w:p w:rsidR="00E46225" w:rsidRPr="00D8202E"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RMSE</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27.3</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26.1</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29.7</w:t>
            </w:r>
          </w:p>
        </w:tc>
      </w:tr>
      <w:tr w:rsidR="00E46225" w:rsidRPr="00D8202E" w:rsidTr="005B5E96">
        <w:trPr>
          <w:trHeight w:val="255"/>
        </w:trPr>
        <w:tc>
          <w:tcPr>
            <w:tcW w:w="1350" w:type="dxa"/>
            <w:shd w:val="clear" w:color="auto" w:fill="auto"/>
            <w:noWrap/>
            <w:vAlign w:val="bottom"/>
          </w:tcPr>
          <w:p w:rsidR="00E46225" w:rsidRPr="00D8202E"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MAPE</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33.0</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31.2</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35.1</w:t>
            </w:r>
          </w:p>
        </w:tc>
      </w:tr>
      <w:tr w:rsidR="00E46225" w:rsidRPr="00D8202E" w:rsidTr="005B5E96">
        <w:trPr>
          <w:trHeight w:val="255"/>
        </w:trPr>
        <w:tc>
          <w:tcPr>
            <w:tcW w:w="1350" w:type="dxa"/>
            <w:shd w:val="clear" w:color="auto" w:fill="auto"/>
            <w:noWrap/>
            <w:vAlign w:val="bottom"/>
          </w:tcPr>
          <w:p w:rsidR="00E46225"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α</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0.96</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0.79</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1.00</w:t>
            </w:r>
          </w:p>
        </w:tc>
      </w:tr>
      <w:tr w:rsidR="00E46225" w:rsidRPr="00D8202E" w:rsidTr="005B5E96">
        <w:trPr>
          <w:trHeight w:val="255"/>
        </w:trPr>
        <w:tc>
          <w:tcPr>
            <w:tcW w:w="1350" w:type="dxa"/>
            <w:shd w:val="clear" w:color="auto" w:fill="auto"/>
            <w:noWrap/>
            <w:vAlign w:val="bottom"/>
          </w:tcPr>
          <w:p w:rsidR="00E46225"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β</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0.43</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0.89</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0.45</w:t>
            </w:r>
          </w:p>
        </w:tc>
      </w:tr>
      <w:tr w:rsidR="00E46225" w:rsidRPr="00D8202E" w:rsidTr="005B5E96">
        <w:trPr>
          <w:trHeight w:val="255"/>
        </w:trPr>
        <w:tc>
          <w:tcPr>
            <w:tcW w:w="1350" w:type="dxa"/>
            <w:shd w:val="clear" w:color="auto" w:fill="auto"/>
            <w:noWrap/>
            <w:vAlign w:val="bottom"/>
          </w:tcPr>
          <w:p w:rsidR="00E46225"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φ</w:t>
            </w:r>
          </w:p>
        </w:tc>
        <w:tc>
          <w:tcPr>
            <w:tcW w:w="1220" w:type="dxa"/>
            <w:shd w:val="clear" w:color="auto" w:fill="auto"/>
            <w:noWrap/>
            <w:vAlign w:val="bottom"/>
          </w:tcPr>
          <w:p w:rsidR="00E46225" w:rsidRDefault="00E46225" w:rsidP="005B5E96">
            <w:pPr>
              <w:spacing w:line="240" w:lineRule="auto"/>
              <w:jc w:val="center"/>
              <w:rPr>
                <w:rFonts w:ascii="Arial" w:eastAsia="Times New Roman" w:hAnsi="Arial" w:cs="Arial"/>
                <w:sz w:val="20"/>
                <w:szCs w:val="20"/>
                <w:lang w:eastAsia="zh-CN"/>
              </w:rPr>
            </w:pP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0.64</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p>
        </w:tc>
      </w:tr>
      <w:tr w:rsidR="00E46225" w:rsidRPr="00D8202E" w:rsidTr="005B5E96">
        <w:trPr>
          <w:trHeight w:val="255"/>
        </w:trPr>
        <w:tc>
          <w:tcPr>
            <w:tcW w:w="1350" w:type="dxa"/>
            <w:shd w:val="clear" w:color="auto" w:fill="auto"/>
            <w:noWrap/>
            <w:vAlign w:val="bottom"/>
          </w:tcPr>
          <w:p w:rsidR="00E46225"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SE</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6.11</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5.79</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0.300*</w:t>
            </w:r>
          </w:p>
        </w:tc>
      </w:tr>
      <w:tr w:rsidR="00E46225" w:rsidRPr="00D8202E" w:rsidTr="005B5E96">
        <w:trPr>
          <w:trHeight w:val="255"/>
        </w:trPr>
        <w:tc>
          <w:tcPr>
            <w:tcW w:w="1350" w:type="dxa"/>
            <w:shd w:val="clear" w:color="auto" w:fill="auto"/>
            <w:noWrap/>
            <w:vAlign w:val="bottom"/>
          </w:tcPr>
          <w:p w:rsidR="00E46225"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95% PI</w:t>
            </w:r>
          </w:p>
          <w:p w:rsidR="00E46225"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F+/- value</w:t>
            </w:r>
          </w:p>
        </w:tc>
        <w:tc>
          <w:tcPr>
            <w:tcW w:w="1220"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11.98</w:t>
            </w:r>
          </w:p>
        </w:tc>
        <w:tc>
          <w:tcPr>
            <w:tcW w:w="127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11.35</w:t>
            </w:r>
          </w:p>
        </w:tc>
        <w:tc>
          <w:tcPr>
            <w:tcW w:w="1336" w:type="dxa"/>
            <w:shd w:val="clear" w:color="auto" w:fill="auto"/>
            <w:noWrap/>
            <w:vAlign w:val="bottom"/>
          </w:tcPr>
          <w:p w:rsidR="00E46225" w:rsidRPr="00D8202E"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0.594*</w:t>
            </w:r>
          </w:p>
        </w:tc>
      </w:tr>
      <w:tr w:rsidR="00E46225" w:rsidRPr="00D8202E" w:rsidTr="005B5E96">
        <w:trPr>
          <w:trHeight w:val="255"/>
        </w:trPr>
        <w:tc>
          <w:tcPr>
            <w:tcW w:w="1350" w:type="dxa"/>
            <w:shd w:val="clear" w:color="auto" w:fill="auto"/>
            <w:noWrap/>
            <w:vAlign w:val="bottom"/>
          </w:tcPr>
          <w:p w:rsidR="00E46225" w:rsidRDefault="00E46225" w:rsidP="005B5E96">
            <w:pPr>
              <w:spacing w:line="240" w:lineRule="auto"/>
              <w:jc w:val="right"/>
              <w:rPr>
                <w:rFonts w:ascii="Arial" w:hAnsi="Arial" w:cs="Arial"/>
                <w:sz w:val="20"/>
                <w:szCs w:val="20"/>
                <w:lang w:eastAsia="zh-CN"/>
              </w:rPr>
            </w:pPr>
            <w:r>
              <w:rPr>
                <w:rFonts w:ascii="Arial" w:hAnsi="Arial" w:cs="Arial"/>
                <w:sz w:val="20"/>
                <w:szCs w:val="20"/>
                <w:lang w:eastAsia="zh-CN"/>
              </w:rPr>
              <w:t>Inside PI?</w:t>
            </w:r>
          </w:p>
        </w:tc>
        <w:tc>
          <w:tcPr>
            <w:tcW w:w="1220" w:type="dxa"/>
            <w:shd w:val="clear" w:color="auto" w:fill="auto"/>
            <w:noWrap/>
            <w:vAlign w:val="bottom"/>
          </w:tcPr>
          <w:p w:rsidR="00E46225"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w:t>
            </w:r>
          </w:p>
        </w:tc>
        <w:tc>
          <w:tcPr>
            <w:tcW w:w="1276" w:type="dxa"/>
            <w:shd w:val="clear" w:color="auto" w:fill="auto"/>
            <w:noWrap/>
            <w:vAlign w:val="bottom"/>
          </w:tcPr>
          <w:p w:rsidR="00E46225"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2/8</w:t>
            </w:r>
          </w:p>
        </w:tc>
        <w:tc>
          <w:tcPr>
            <w:tcW w:w="1336" w:type="dxa"/>
            <w:shd w:val="clear" w:color="auto" w:fill="auto"/>
            <w:noWrap/>
            <w:vAlign w:val="bottom"/>
          </w:tcPr>
          <w:p w:rsidR="00E46225" w:rsidRDefault="00E46225"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6/8</w:t>
            </w:r>
          </w:p>
        </w:tc>
      </w:tr>
    </w:tbl>
    <w:p w:rsidR="00C7156F" w:rsidRDefault="00C7156F" w:rsidP="00C54673"/>
    <w:p w:rsidR="00C54673" w:rsidRDefault="00C7156F" w:rsidP="00C54673">
      <w:r>
        <w:t>* Natural log scale</w:t>
      </w:r>
    </w:p>
    <w:p w:rsidR="00E46225" w:rsidRDefault="00E46225" w:rsidP="00E46225">
      <w:r>
        <w:t>The ESM calculates the MAE etc. after converting back to the original units.</w:t>
      </w:r>
    </w:p>
    <w:p w:rsidR="00E46225" w:rsidRPr="00771AC9" w:rsidRDefault="00E46225" w:rsidP="0094418E">
      <w:pPr>
        <w:rPr>
          <w:sz w:val="22"/>
        </w:rPr>
      </w:pPr>
      <w:r w:rsidRPr="00771AC9">
        <w:rPr>
          <w:sz w:val="22"/>
        </w:rPr>
        <w:t>The PI is calculated for the log values and then transformed back so the upper limit if Forecast*exp(0.594) yielding a multiplier of 1.81, which produces a very wide interval. Hence the ‘improved’ coverage.</w:t>
      </w:r>
    </w:p>
    <w:p w:rsidR="00805C69" w:rsidRPr="00771AC9" w:rsidRDefault="00805C69" w:rsidP="0094418E">
      <w:pPr>
        <w:rPr>
          <w:sz w:val="22"/>
        </w:rPr>
      </w:pPr>
    </w:p>
    <w:p w:rsidR="00771AC9" w:rsidRPr="00771AC9" w:rsidRDefault="007E1129" w:rsidP="00771AC9">
      <w:pPr>
        <w:pStyle w:val="Heading3"/>
      </w:pPr>
      <w:r w:rsidRPr="00771AC9">
        <w:t>3</w:t>
      </w:r>
      <w:r w:rsidR="00CE3E88" w:rsidRPr="00771AC9">
        <w:t>.17</w:t>
      </w:r>
    </w:p>
    <w:p w:rsidR="009B3A8C" w:rsidRPr="00771AC9" w:rsidRDefault="007B21F7" w:rsidP="0094418E">
      <w:pPr>
        <w:rPr>
          <w:sz w:val="22"/>
        </w:rPr>
      </w:pPr>
      <w:r w:rsidRPr="00CE3E88">
        <w:t xml:space="preserve"> </w:t>
      </w:r>
      <w:r w:rsidRPr="00771AC9">
        <w:rPr>
          <w:sz w:val="22"/>
        </w:rPr>
        <w:t xml:space="preserve">Using the estimation sample 1963-2003 there are 38 estimated errors. The three largest negative errors are -2006, -1479 and -1054. The three largest positive errors are 1600, 3460 and </w:t>
      </w:r>
      <w:r w:rsidR="007E1129" w:rsidRPr="00771AC9">
        <w:rPr>
          <w:sz w:val="22"/>
        </w:rPr>
        <w:t xml:space="preserve">3714. </w:t>
      </w:r>
      <w:r w:rsidRPr="00771AC9">
        <w:rPr>
          <w:sz w:val="22"/>
        </w:rPr>
        <w:t xml:space="preserve">Taking the second value in each case yields a 92% interval, whereas taking the first three yields an 87% interval. What we decide to do does not matter much at the positive end but clearly makes a difference at the lower end.  For simplicity, we take the average of the second and third errors in each tail so that the prediction interval becomes </w:t>
      </w:r>
      <w:r w:rsidR="007E1129" w:rsidRPr="00771AC9">
        <w:rPr>
          <w:position w:val="-10"/>
          <w:sz w:val="22"/>
        </w:rPr>
        <w:object w:dxaOrig="2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5.75pt" o:ole="">
            <v:imagedata r:id="rId9" o:title=""/>
          </v:shape>
          <o:OLEObject Type="Embed" ProgID="Equation.DSMT4" ShapeID="_x0000_i1069" DrawAspect="Content" ObjectID="_1565795233" r:id="rId10"/>
        </w:object>
      </w:r>
      <w:r w:rsidRPr="00771AC9">
        <w:rPr>
          <w:sz w:val="22"/>
        </w:rPr>
        <w:t xml:space="preserve">. Clearly the interval is not symmetric about the point forecast. </w:t>
      </w:r>
      <w:r w:rsidR="007E1129" w:rsidRPr="00771AC9">
        <w:rPr>
          <w:sz w:val="22"/>
        </w:rPr>
        <w:t xml:space="preserve">Intervals based upon the normal distribution would be </w:t>
      </w:r>
      <w:r w:rsidR="007E1129" w:rsidRPr="00771AC9">
        <w:rPr>
          <w:position w:val="-10"/>
          <w:sz w:val="22"/>
        </w:rPr>
        <w:object w:dxaOrig="2940" w:dyaOrig="320">
          <v:shape id="_x0000_i1070" type="#_x0000_t75" style="width:147pt;height:15.75pt" o:ole="">
            <v:imagedata r:id="rId11" o:title=""/>
          </v:shape>
          <o:OLEObject Type="Embed" ProgID="Equation.DSMT4" ShapeID="_x0000_i1070" DrawAspect="Content" ObjectID="_1565795234" r:id="rId12"/>
        </w:object>
      </w:r>
      <w:r w:rsidR="00CE3E88" w:rsidRPr="00771AC9">
        <w:rPr>
          <w:sz w:val="22"/>
        </w:rPr>
        <w:t>. Although the</w:t>
      </w:r>
      <w:r w:rsidR="007E1129" w:rsidRPr="00771AC9">
        <w:rPr>
          <w:sz w:val="22"/>
        </w:rPr>
        <w:t xml:space="preserve"> </w:t>
      </w:r>
      <w:r w:rsidR="00CE3E88" w:rsidRPr="00771AC9">
        <w:rPr>
          <w:sz w:val="22"/>
        </w:rPr>
        <w:t>normal</w:t>
      </w:r>
      <w:r w:rsidR="007E1129" w:rsidRPr="00771AC9">
        <w:rPr>
          <w:sz w:val="22"/>
        </w:rPr>
        <w:t xml:space="preserve"> intervals </w:t>
      </w:r>
      <w:r w:rsidR="00C7156F" w:rsidRPr="00771AC9">
        <w:rPr>
          <w:sz w:val="22"/>
        </w:rPr>
        <w:t xml:space="preserve">are </w:t>
      </w:r>
      <w:r w:rsidR="007E1129" w:rsidRPr="00771AC9">
        <w:rPr>
          <w:sz w:val="22"/>
        </w:rPr>
        <w:t>narrower</w:t>
      </w:r>
      <w:r w:rsidR="00CE3E88" w:rsidRPr="00771AC9">
        <w:rPr>
          <w:sz w:val="22"/>
        </w:rPr>
        <w:t>, their symmetric nature in this case captures 9 out of 12 forecasts whereas the asymmetric intervals capture only 8 out of 12.</w:t>
      </w:r>
    </w:p>
    <w:p w:rsidR="007E1129" w:rsidRDefault="007E1129" w:rsidP="0094418E">
      <w:r w:rsidRPr="00805C69">
        <w:rPr>
          <w:highlight w:val="yellow"/>
        </w:rPr>
        <w:object w:dxaOrig="8640" w:dyaOrig="5760">
          <v:shape id="_x0000_i1071" type="#_x0000_t75" style="width:322.5pt;height:192.75pt" o:ole="">
            <v:imagedata r:id="rId13" o:title=""/>
          </v:shape>
          <o:OLEObject Type="Embed" ProgID="MtbGraph.Document.16" ShapeID="_x0000_i1071" DrawAspect="Content" ObjectID="_1565795235" r:id="rId14"/>
        </w:object>
      </w:r>
    </w:p>
    <w:p w:rsidR="007E1129" w:rsidRDefault="007E1129"/>
    <w:p w:rsidR="007E1129" w:rsidRDefault="0066775D" w:rsidP="0094418E">
      <w:r>
        <w:t>3.18</w:t>
      </w:r>
      <w:r w:rsidR="007E1129">
        <w:t xml:space="preserve"> Write </w:t>
      </w:r>
      <w:r w:rsidR="007E1129" w:rsidRPr="007E1129">
        <w:rPr>
          <w:position w:val="-30"/>
        </w:rPr>
        <w:object w:dxaOrig="1219" w:dyaOrig="680">
          <v:shape id="_x0000_i1072" type="#_x0000_t75" style="width:60.75pt;height:33.75pt" o:ole="">
            <v:imagedata r:id="rId15" o:title=""/>
          </v:shape>
          <o:OLEObject Type="Embed" ProgID="Equation.DSMT4" ShapeID="_x0000_i1072" DrawAspect="Content" ObjectID="_1565795236" r:id="rId16"/>
        </w:object>
      </w:r>
      <w:r w:rsidR="007E1129">
        <w:t xml:space="preserve"> It follows that </w:t>
      </w:r>
      <w:r w:rsidR="007E1129" w:rsidRPr="007E1129">
        <w:rPr>
          <w:position w:val="-12"/>
        </w:rPr>
        <w:object w:dxaOrig="2100" w:dyaOrig="360">
          <v:shape id="_x0000_i1073" type="#_x0000_t75" style="width:105.75pt;height:18.75pt" o:ole="">
            <v:imagedata r:id="rId17" o:title=""/>
          </v:shape>
          <o:OLEObject Type="Embed" ProgID="Equation.DSMT4" ShapeID="_x0000_i1073" DrawAspect="Content" ObjectID="_1565795237" r:id="rId18"/>
        </w:object>
      </w:r>
    </w:p>
    <w:p w:rsidR="007E1129" w:rsidRDefault="007E1129" w:rsidP="0094418E">
      <w:r>
        <w:t xml:space="preserve">       The log series expansion is </w:t>
      </w:r>
      <w:r w:rsidRPr="007E1129">
        <w:rPr>
          <w:position w:val="-12"/>
        </w:rPr>
        <w:object w:dxaOrig="2760" w:dyaOrig="380">
          <v:shape id="_x0000_i1074" type="#_x0000_t75" style="width:137.25pt;height:18.75pt" o:ole="">
            <v:imagedata r:id="rId19" o:title=""/>
          </v:shape>
          <o:OLEObject Type="Embed" ProgID="Equation.DSMT4" ShapeID="_x0000_i1074" DrawAspect="Content" ObjectID="_1565795238" r:id="rId20"/>
        </w:object>
      </w:r>
    </w:p>
    <w:p w:rsidR="00AE635F" w:rsidRDefault="00AE635F" w:rsidP="0094418E">
      <w:r>
        <w:lastRenderedPageBreak/>
        <w:t xml:space="preserve">      When </w:t>
      </w:r>
      <w:r>
        <w:rPr>
          <w:i/>
        </w:rPr>
        <w:t>a</w:t>
      </w:r>
      <w:r>
        <w:t xml:space="preserve"> is small we have that </w:t>
      </w:r>
      <w:r w:rsidR="0066775D" w:rsidRPr="007E1129">
        <w:rPr>
          <w:position w:val="-12"/>
        </w:rPr>
        <w:object w:dxaOrig="1480" w:dyaOrig="360">
          <v:shape id="_x0000_i1075" type="#_x0000_t75" style="width:73.5pt;height:18.75pt" o:ole="">
            <v:imagedata r:id="rId21" o:title=""/>
          </v:shape>
          <o:OLEObject Type="Embed" ProgID="Equation.DSMT4" ShapeID="_x0000_i1075" DrawAspect="Content" ObjectID="_1565795239" r:id="rId22"/>
        </w:object>
      </w:r>
    </w:p>
    <w:p w:rsidR="00AE635F" w:rsidRDefault="00AE635F" w:rsidP="0094418E"/>
    <w:p w:rsidR="00771AC9" w:rsidRDefault="00AA6702" w:rsidP="00771AC9">
      <w:pPr>
        <w:pStyle w:val="Heading3"/>
      </w:pPr>
      <w:r>
        <w:t xml:space="preserve">3.19  </w:t>
      </w:r>
    </w:p>
    <w:p w:rsidR="00AE635F" w:rsidRPr="00771AC9" w:rsidRDefault="00AA6702" w:rsidP="0094418E">
      <w:pPr>
        <w:rPr>
          <w:sz w:val="22"/>
        </w:rPr>
      </w:pPr>
      <w:r w:rsidRPr="00771AC9">
        <w:rPr>
          <w:sz w:val="22"/>
        </w:rPr>
        <w:t xml:space="preserve">The trend equation </w:t>
      </w:r>
      <w:r w:rsidR="00AE635F" w:rsidRPr="00771AC9">
        <w:rPr>
          <w:sz w:val="22"/>
        </w:rPr>
        <w:t xml:space="preserve">is </w:t>
      </w:r>
      <w:r w:rsidR="00AE635F" w:rsidRPr="00771AC9">
        <w:rPr>
          <w:noProof/>
          <w:position w:val="-14"/>
          <w:sz w:val="22"/>
          <w:lang w:val="en-GB" w:eastAsia="en-GB"/>
        </w:rPr>
        <w:drawing>
          <wp:inline distT="0" distB="0" distL="0" distR="0">
            <wp:extent cx="190500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0" cy="257175"/>
                    </a:xfrm>
                    <a:prstGeom prst="rect">
                      <a:avLst/>
                    </a:prstGeom>
                    <a:noFill/>
                    <a:ln>
                      <a:noFill/>
                    </a:ln>
                  </pic:spPr>
                </pic:pic>
              </a:graphicData>
            </a:graphic>
          </wp:inline>
        </w:drawing>
      </w:r>
      <w:r w:rsidR="00AE635F" w:rsidRPr="00771AC9">
        <w:rPr>
          <w:sz w:val="22"/>
        </w:rPr>
        <w:t>.</w:t>
      </w:r>
    </w:p>
    <w:p w:rsidR="00AE635F" w:rsidRPr="00771AC9" w:rsidRDefault="00AE635F" w:rsidP="0094418E">
      <w:pPr>
        <w:rPr>
          <w:sz w:val="22"/>
        </w:rPr>
      </w:pPr>
      <w:r w:rsidRPr="00771AC9">
        <w:rPr>
          <w:sz w:val="22"/>
        </w:rPr>
        <w:t xml:space="preserve">        The </w:t>
      </w:r>
      <w:r w:rsidR="00AA6702" w:rsidRPr="00771AC9">
        <w:rPr>
          <w:sz w:val="22"/>
        </w:rPr>
        <w:t>level equation may be written as</w:t>
      </w:r>
      <w:r w:rsidRPr="00771AC9">
        <w:rPr>
          <w:sz w:val="22"/>
        </w:rPr>
        <w:t xml:space="preserve">: </w:t>
      </w:r>
      <w:r w:rsidR="00AA6702" w:rsidRPr="00771AC9">
        <w:rPr>
          <w:position w:val="-12"/>
          <w:sz w:val="22"/>
        </w:rPr>
        <w:object w:dxaOrig="1860" w:dyaOrig="360">
          <v:shape id="_x0000_i1076" type="#_x0000_t75" style="width:93pt;height:18.75pt" o:ole="">
            <v:imagedata r:id="rId24" o:title=""/>
          </v:shape>
          <o:OLEObject Type="Embed" ProgID="Equation.DSMT4" ShapeID="_x0000_i1076" DrawAspect="Content" ObjectID="_1565795240" r:id="rId25"/>
        </w:object>
      </w:r>
    </w:p>
    <w:p w:rsidR="00AE635F" w:rsidRPr="00771AC9" w:rsidRDefault="00AA6702" w:rsidP="00AA6702">
      <w:pPr>
        <w:ind w:firstLine="540"/>
        <w:rPr>
          <w:sz w:val="22"/>
        </w:rPr>
      </w:pPr>
      <w:r w:rsidRPr="00771AC9">
        <w:rPr>
          <w:sz w:val="22"/>
        </w:rPr>
        <w:t>Thus</w:t>
      </w:r>
      <w:r w:rsidR="00C7156F" w:rsidRPr="00771AC9">
        <w:rPr>
          <w:sz w:val="22"/>
        </w:rPr>
        <w:t>,</w:t>
      </w:r>
      <w:r w:rsidRPr="00771AC9">
        <w:rPr>
          <w:sz w:val="22"/>
        </w:rPr>
        <w:t xml:space="preserve"> the trend equation becomes: </w:t>
      </w:r>
      <w:r w:rsidR="00AE635F" w:rsidRPr="00771AC9">
        <w:rPr>
          <w:position w:val="-12"/>
          <w:sz w:val="22"/>
        </w:rPr>
        <w:object w:dxaOrig="1500" w:dyaOrig="360">
          <v:shape id="_x0000_i1077" type="#_x0000_t75" style="width:75pt;height:18.75pt" o:ole="">
            <v:imagedata r:id="rId26" o:title=""/>
          </v:shape>
          <o:OLEObject Type="Embed" ProgID="Equation.DSMT4" ShapeID="_x0000_i1077" DrawAspect="Content" ObjectID="_1565795241" r:id="rId27"/>
        </w:object>
      </w:r>
    </w:p>
    <w:p w:rsidR="00AE635F" w:rsidRPr="00771AC9" w:rsidRDefault="00AE635F" w:rsidP="00AE635F">
      <w:pPr>
        <w:ind w:firstLine="540"/>
        <w:rPr>
          <w:sz w:val="22"/>
        </w:rPr>
      </w:pPr>
    </w:p>
    <w:p w:rsidR="00805C69" w:rsidRPr="00771AC9" w:rsidRDefault="00BE7F3E" w:rsidP="00771AC9">
      <w:pPr>
        <w:pStyle w:val="Heading3"/>
        <w:rPr>
          <w:sz w:val="22"/>
        </w:rPr>
      </w:pPr>
      <w:r w:rsidRPr="00771AC9">
        <w:rPr>
          <w:sz w:val="22"/>
        </w:rPr>
        <w:t>3.</w:t>
      </w:r>
      <w:r w:rsidR="00805C69" w:rsidRPr="00771AC9">
        <w:rPr>
          <w:sz w:val="22"/>
        </w:rPr>
        <w:t>20</w:t>
      </w:r>
    </w:p>
    <w:p w:rsidR="00CE3E88" w:rsidRPr="00771AC9" w:rsidRDefault="00CE3E88" w:rsidP="00BE7F3E">
      <w:pPr>
        <w:rPr>
          <w:sz w:val="22"/>
        </w:rPr>
      </w:pPr>
      <w:r w:rsidRPr="00771AC9">
        <w:rPr>
          <w:sz w:val="22"/>
        </w:rPr>
        <w:t xml:space="preserve">From (3.13), </w:t>
      </w:r>
      <w:r w:rsidR="00C9731A" w:rsidRPr="00771AC9">
        <w:rPr>
          <w:sz w:val="22"/>
        </w:rPr>
        <w:t>we have:</w:t>
      </w:r>
    </w:p>
    <w:p w:rsidR="00C9731A" w:rsidRPr="00771AC9" w:rsidRDefault="00C9731A" w:rsidP="00C9731A">
      <w:pPr>
        <w:jc w:val="center"/>
        <w:rPr>
          <w:sz w:val="22"/>
        </w:rPr>
      </w:pPr>
      <w:r w:rsidRPr="00771AC9">
        <w:rPr>
          <w:position w:val="-48"/>
          <w:sz w:val="22"/>
        </w:rPr>
        <w:object w:dxaOrig="2040" w:dyaOrig="1080">
          <v:shape id="_x0000_i1078" type="#_x0000_t75" style="width:102pt;height:54pt" o:ole="">
            <v:imagedata r:id="rId28" o:title=""/>
          </v:shape>
          <o:OLEObject Type="Embed" ProgID="Equation.DSMT4" ShapeID="_x0000_i1078" DrawAspect="Content" ObjectID="_1565795242" r:id="rId29"/>
        </w:object>
      </w:r>
    </w:p>
    <w:p w:rsidR="00CE3E88" w:rsidRPr="00771AC9" w:rsidRDefault="00C9731A" w:rsidP="00BE7F3E">
      <w:pPr>
        <w:rPr>
          <w:sz w:val="22"/>
        </w:rPr>
      </w:pPr>
      <w:r w:rsidRPr="00771AC9">
        <w:rPr>
          <w:sz w:val="22"/>
        </w:rPr>
        <w:t xml:space="preserve">At time </w:t>
      </w:r>
      <w:r w:rsidRPr="00771AC9">
        <w:rPr>
          <w:i/>
          <w:sz w:val="22"/>
        </w:rPr>
        <w:t>t</w:t>
      </w:r>
      <w:r w:rsidRPr="00771AC9">
        <w:rPr>
          <w:sz w:val="22"/>
        </w:rPr>
        <w:t xml:space="preserve">, we do not know the value of the error term for time </w:t>
      </w:r>
      <w:r w:rsidRPr="00771AC9">
        <w:rPr>
          <w:i/>
          <w:sz w:val="22"/>
        </w:rPr>
        <w:t>(t+1),</w:t>
      </w:r>
      <w:r w:rsidRPr="00771AC9">
        <w:rPr>
          <w:sz w:val="22"/>
        </w:rPr>
        <w:t xml:space="preserve"> so we replace it by a “best guess” of zero (This step is justified in Chapter 5). Thus, when we forecast two steps ahead we have:</w:t>
      </w:r>
    </w:p>
    <w:p w:rsidR="00C9731A" w:rsidRDefault="00C9731A" w:rsidP="00C9731A">
      <w:pPr>
        <w:jc w:val="center"/>
      </w:pPr>
      <w:r w:rsidRPr="00C9731A">
        <w:rPr>
          <w:position w:val="-32"/>
        </w:rPr>
        <w:object w:dxaOrig="3300" w:dyaOrig="760">
          <v:shape id="_x0000_i1079" type="#_x0000_t75" style="width:165pt;height:38.25pt" o:ole="">
            <v:imagedata r:id="rId30" o:title=""/>
          </v:shape>
          <o:OLEObject Type="Embed" ProgID="Equation.DSMT4" ShapeID="_x0000_i1079" DrawAspect="Content" ObjectID="_1565795243" r:id="rId31"/>
        </w:object>
      </w:r>
    </w:p>
    <w:p w:rsidR="00C9731A" w:rsidRDefault="00C9731A" w:rsidP="00BE7F3E">
      <w:r>
        <w:t>Repeating this step leads to equation (3.14).</w:t>
      </w:r>
    </w:p>
    <w:p w:rsidR="00512A8E" w:rsidRDefault="00512A8E" w:rsidP="00BE7F3E"/>
    <w:p w:rsidR="00512A8E" w:rsidRDefault="00AA6702" w:rsidP="00771AC9">
      <w:pPr>
        <w:pStyle w:val="Heading3"/>
      </w:pPr>
      <w:r>
        <w:t>3.21</w:t>
      </w:r>
    </w:p>
    <w:tbl>
      <w:tblPr>
        <w:tblW w:w="6007" w:type="dxa"/>
        <w:tblLook w:val="04A0" w:firstRow="1" w:lastRow="0" w:firstColumn="1" w:lastColumn="0" w:noHBand="0" w:noVBand="1"/>
      </w:tblPr>
      <w:tblGrid>
        <w:gridCol w:w="4734"/>
        <w:gridCol w:w="1273"/>
      </w:tblGrid>
      <w:tr w:rsidR="00805C69" w:rsidRPr="00805C69" w:rsidTr="00771AC9">
        <w:trPr>
          <w:trHeight w:val="270"/>
        </w:trPr>
        <w:tc>
          <w:tcPr>
            <w:tcW w:w="6007" w:type="dxa"/>
            <w:gridSpan w:val="2"/>
            <w:tcBorders>
              <w:top w:val="single" w:sz="12" w:space="0" w:color="000000"/>
              <w:left w:val="single" w:sz="12" w:space="0" w:color="000000"/>
              <w:bottom w:val="nil"/>
              <w:right w:val="single" w:sz="12" w:space="0" w:color="000000"/>
            </w:tcBorders>
            <w:shd w:val="clear" w:color="auto" w:fill="auto"/>
            <w:noWrap/>
            <w:vAlign w:val="bottom"/>
            <w:hideMark/>
          </w:tcPr>
          <w:p w:rsidR="00805C69" w:rsidRPr="00805C69" w:rsidRDefault="00805C69" w:rsidP="00805C69">
            <w:pPr>
              <w:spacing w:line="240" w:lineRule="auto"/>
              <w:rPr>
                <w:rFonts w:ascii="Arial" w:eastAsia="Times New Roman" w:hAnsi="Arial" w:cs="Arial"/>
                <w:b/>
                <w:bCs/>
                <w:sz w:val="20"/>
                <w:szCs w:val="20"/>
              </w:rPr>
            </w:pPr>
            <w:r w:rsidRPr="00805C69">
              <w:rPr>
                <w:rFonts w:ascii="Arial" w:eastAsia="Times New Roman" w:hAnsi="Arial" w:cs="Arial"/>
                <w:b/>
                <w:bCs/>
                <w:sz w:val="20"/>
                <w:szCs w:val="20"/>
              </w:rPr>
              <w:t>Forecasting Information for Additive Trend Exponential smoothing</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Total Observations</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jc w:val="right"/>
              <w:rPr>
                <w:rFonts w:ascii="Arial" w:eastAsia="Times New Roman" w:hAnsi="Arial" w:cs="Arial"/>
                <w:sz w:val="20"/>
                <w:szCs w:val="20"/>
              </w:rPr>
            </w:pPr>
            <w:r w:rsidRPr="00805C69">
              <w:rPr>
                <w:rFonts w:ascii="Arial" w:eastAsia="Times New Roman" w:hAnsi="Arial" w:cs="Arial"/>
                <w:sz w:val="20"/>
                <w:szCs w:val="20"/>
              </w:rPr>
              <w:t>38</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Holdout</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jc w:val="right"/>
              <w:rPr>
                <w:rFonts w:ascii="Arial" w:eastAsia="Times New Roman" w:hAnsi="Arial" w:cs="Arial"/>
                <w:sz w:val="20"/>
                <w:szCs w:val="20"/>
              </w:rPr>
            </w:pPr>
            <w:r w:rsidRPr="00805C69">
              <w:rPr>
                <w:rFonts w:ascii="Arial" w:eastAsia="Times New Roman" w:hAnsi="Arial" w:cs="Arial"/>
                <w:sz w:val="20"/>
                <w:szCs w:val="20"/>
              </w:rPr>
              <w:t>8</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Forecast Horizon</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jc w:val="right"/>
              <w:rPr>
                <w:rFonts w:ascii="Arial" w:eastAsia="Times New Roman" w:hAnsi="Arial" w:cs="Arial"/>
                <w:sz w:val="20"/>
                <w:szCs w:val="20"/>
              </w:rPr>
            </w:pPr>
            <w:r w:rsidRPr="00805C69">
              <w:rPr>
                <w:rFonts w:ascii="Arial" w:eastAsia="Times New Roman" w:hAnsi="Arial" w:cs="Arial"/>
                <w:sz w:val="20"/>
                <w:szCs w:val="20"/>
              </w:rPr>
              <w:t>10</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b/>
                <w:bCs/>
                <w:sz w:val="20"/>
                <w:szCs w:val="20"/>
              </w:rPr>
            </w:pPr>
            <w:r w:rsidRPr="00805C69">
              <w:rPr>
                <w:rFonts w:ascii="Arial" w:eastAsia="Times New Roman" w:hAnsi="Arial" w:cs="Arial"/>
                <w:b/>
                <w:bCs/>
                <w:sz w:val="20"/>
                <w:szCs w:val="20"/>
              </w:rPr>
              <w:t>In sample Error</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Mean of Absolute Deviation (MAD)</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4.9947</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Mean of Squared Error (MSE)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35.9399</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Root Mean of Squared Error (RMSE)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5.9950</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Mean of Absolute Percent Error (MAPE)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0.2285</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Symmetric Mean of Absolute Percent Error (sMAPE)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0.2303</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b/>
                <w:bCs/>
                <w:sz w:val="20"/>
                <w:szCs w:val="20"/>
              </w:rPr>
            </w:pPr>
            <w:r w:rsidRPr="00805C69">
              <w:rPr>
                <w:rFonts w:ascii="Arial" w:eastAsia="Times New Roman" w:hAnsi="Arial" w:cs="Arial"/>
                <w:b/>
                <w:bCs/>
                <w:sz w:val="20"/>
                <w:szCs w:val="20"/>
              </w:rPr>
              <w:t>Out of sample Error</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Mean of Absolute Deviation (MAD)</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23.8911</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Mean of Squared Error (MSE)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759.0509</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Root Mean of Squared Error (RMSE)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27.5509</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Mean of Absolute Percent Error (MAPE)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0.3327</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Symmetric Mean of Absolute Percent Error (sMAPE)</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0.2782</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b/>
                <w:bCs/>
                <w:sz w:val="20"/>
                <w:szCs w:val="20"/>
              </w:rPr>
            </w:pPr>
            <w:r w:rsidRPr="00805C69">
              <w:rPr>
                <w:rFonts w:ascii="Arial" w:eastAsia="Times New Roman" w:hAnsi="Arial" w:cs="Arial"/>
                <w:b/>
                <w:bCs/>
                <w:sz w:val="20"/>
                <w:szCs w:val="20"/>
              </w:rPr>
              <w:t>Parameter</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rPr>
                <w:rFonts w:ascii="Arial" w:hAnsi="Arial" w:cs="Arial"/>
                <w:color w:val="000000"/>
                <w:sz w:val="20"/>
                <w:szCs w:val="20"/>
              </w:rPr>
            </w:pPr>
            <w:r>
              <w:rPr>
                <w:rFonts w:ascii="Arial" w:hAnsi="Arial" w:cs="Arial"/>
                <w:color w:val="000000"/>
                <w:sz w:val="20"/>
                <w:szCs w:val="20"/>
              </w:rPr>
              <w:t> </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alpha</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0.9678</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beta</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0.4434</w:t>
            </w:r>
          </w:p>
        </w:tc>
      </w:tr>
      <w:tr w:rsidR="00771AC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771AC9" w:rsidRPr="00805C69" w:rsidRDefault="00771AC9" w:rsidP="00771AC9">
            <w:pPr>
              <w:spacing w:line="240" w:lineRule="auto"/>
              <w:rPr>
                <w:rFonts w:ascii="Arial" w:eastAsia="Times New Roman" w:hAnsi="Arial" w:cs="Arial"/>
                <w:sz w:val="20"/>
                <w:szCs w:val="20"/>
              </w:rPr>
            </w:pPr>
            <w:r w:rsidRPr="00805C69">
              <w:rPr>
                <w:rFonts w:ascii="Arial" w:eastAsia="Times New Roman" w:hAnsi="Arial" w:cs="Arial"/>
                <w:sz w:val="20"/>
                <w:szCs w:val="20"/>
              </w:rPr>
              <w:t>lambda</w:t>
            </w:r>
          </w:p>
        </w:tc>
        <w:tc>
          <w:tcPr>
            <w:tcW w:w="1273" w:type="dxa"/>
            <w:tcBorders>
              <w:top w:val="nil"/>
              <w:left w:val="nil"/>
              <w:bottom w:val="nil"/>
              <w:right w:val="single" w:sz="12" w:space="0" w:color="000000"/>
            </w:tcBorders>
            <w:shd w:val="clear" w:color="auto" w:fill="auto"/>
            <w:noWrap/>
            <w:vAlign w:val="center"/>
            <w:hideMark/>
          </w:tcPr>
          <w:p w:rsidR="00771AC9" w:rsidRDefault="00771AC9" w:rsidP="00771AC9">
            <w:pPr>
              <w:jc w:val="right"/>
              <w:rPr>
                <w:rFonts w:ascii="Arial" w:hAnsi="Arial" w:cs="Arial"/>
                <w:color w:val="000000"/>
                <w:sz w:val="20"/>
                <w:szCs w:val="20"/>
              </w:rPr>
            </w:pPr>
            <w:r>
              <w:rPr>
                <w:rFonts w:ascii="Arial" w:hAnsi="Arial" w:cs="Arial"/>
                <w:color w:val="000000"/>
                <w:sz w:val="20"/>
                <w:szCs w:val="20"/>
              </w:rPr>
              <w:t>0.8796</w:t>
            </w:r>
          </w:p>
        </w:tc>
      </w:tr>
      <w:tr w:rsidR="00805C69" w:rsidRPr="00805C69" w:rsidTr="00771AC9">
        <w:trPr>
          <w:trHeight w:val="255"/>
        </w:trPr>
        <w:tc>
          <w:tcPr>
            <w:tcW w:w="4734" w:type="dxa"/>
            <w:tcBorders>
              <w:top w:val="nil"/>
              <w:left w:val="single" w:sz="12" w:space="0" w:color="000000"/>
              <w:bottom w:val="nil"/>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c>
          <w:tcPr>
            <w:tcW w:w="1273" w:type="dxa"/>
            <w:tcBorders>
              <w:top w:val="nil"/>
              <w:left w:val="nil"/>
              <w:bottom w:val="nil"/>
              <w:right w:val="single" w:sz="12" w:space="0" w:color="000000"/>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r>
      <w:tr w:rsidR="00805C69" w:rsidRPr="00805C69" w:rsidTr="00771AC9">
        <w:trPr>
          <w:trHeight w:val="270"/>
        </w:trPr>
        <w:tc>
          <w:tcPr>
            <w:tcW w:w="4734" w:type="dxa"/>
            <w:tcBorders>
              <w:top w:val="nil"/>
              <w:left w:val="single" w:sz="12" w:space="0" w:color="000000"/>
              <w:bottom w:val="single" w:sz="12" w:space="0" w:color="000000"/>
              <w:right w:val="nil"/>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c>
          <w:tcPr>
            <w:tcW w:w="1273" w:type="dxa"/>
            <w:tcBorders>
              <w:top w:val="nil"/>
              <w:left w:val="nil"/>
              <w:bottom w:val="single" w:sz="12" w:space="0" w:color="000000"/>
              <w:right w:val="single" w:sz="12" w:space="0" w:color="000000"/>
            </w:tcBorders>
            <w:shd w:val="clear" w:color="auto" w:fill="auto"/>
            <w:noWrap/>
            <w:vAlign w:val="bottom"/>
            <w:hideMark/>
          </w:tcPr>
          <w:p w:rsidR="00805C69" w:rsidRPr="00805C69" w:rsidRDefault="00805C69" w:rsidP="00805C69">
            <w:pPr>
              <w:spacing w:line="240" w:lineRule="auto"/>
              <w:rPr>
                <w:rFonts w:ascii="Arial" w:eastAsia="Times New Roman" w:hAnsi="Arial" w:cs="Arial"/>
                <w:sz w:val="20"/>
                <w:szCs w:val="20"/>
              </w:rPr>
            </w:pPr>
            <w:r w:rsidRPr="00805C69">
              <w:rPr>
                <w:rFonts w:ascii="Arial" w:eastAsia="Times New Roman" w:hAnsi="Arial" w:cs="Arial"/>
                <w:sz w:val="20"/>
                <w:szCs w:val="20"/>
              </w:rPr>
              <w:t> </w:t>
            </w:r>
          </w:p>
        </w:tc>
      </w:tr>
    </w:tbl>
    <w:p w:rsidR="00AA6702" w:rsidRDefault="00AA6702" w:rsidP="00512A8E"/>
    <w:tbl>
      <w:tblPr>
        <w:tblW w:w="45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440"/>
        <w:gridCol w:w="1710"/>
      </w:tblGrid>
      <w:tr w:rsidR="00805C69" w:rsidRPr="00D8202E" w:rsidTr="00805C69">
        <w:trPr>
          <w:trHeight w:val="255"/>
        </w:trPr>
        <w:tc>
          <w:tcPr>
            <w:tcW w:w="1350" w:type="dxa"/>
            <w:shd w:val="clear" w:color="auto" w:fill="auto"/>
            <w:noWrap/>
            <w:vAlign w:val="bottom"/>
          </w:tcPr>
          <w:p w:rsidR="00805C69" w:rsidRPr="00D8202E" w:rsidRDefault="00805C69" w:rsidP="005B5E96">
            <w:pPr>
              <w:spacing w:line="240" w:lineRule="auto"/>
              <w:rPr>
                <w:rFonts w:ascii="Arial" w:eastAsia="Times New Roman" w:hAnsi="Arial" w:cs="Arial"/>
                <w:sz w:val="20"/>
                <w:szCs w:val="20"/>
                <w:lang w:eastAsia="zh-CN"/>
              </w:rPr>
            </w:pPr>
            <w:r>
              <w:rPr>
                <w:rFonts w:ascii="Arial" w:eastAsia="Times New Roman" w:hAnsi="Arial" w:cs="Arial"/>
                <w:sz w:val="20"/>
                <w:szCs w:val="20"/>
                <w:lang w:eastAsia="zh-CN"/>
              </w:rPr>
              <w:t>Statistic</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LES</w:t>
            </w:r>
          </w:p>
        </w:tc>
        <w:tc>
          <w:tcPr>
            <w:tcW w:w="1710" w:type="dxa"/>
            <w:shd w:val="clear" w:color="auto" w:fill="auto"/>
            <w:noWrap/>
            <w:vAlign w:val="bottom"/>
          </w:tcPr>
          <w:p w:rsidR="00805C69" w:rsidRPr="00D8202E" w:rsidRDefault="00805C69" w:rsidP="00805C69">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LES (Box-Cox)</w:t>
            </w:r>
          </w:p>
        </w:tc>
      </w:tr>
      <w:tr w:rsidR="00805C69" w:rsidRPr="00D8202E" w:rsidTr="00805C69">
        <w:trPr>
          <w:trHeight w:val="255"/>
        </w:trPr>
        <w:tc>
          <w:tcPr>
            <w:tcW w:w="1350" w:type="dxa"/>
            <w:shd w:val="clear" w:color="auto" w:fill="auto"/>
            <w:noWrap/>
            <w:vAlign w:val="bottom"/>
          </w:tcPr>
          <w:p w:rsidR="00805C69" w:rsidRPr="00D8202E"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MAE</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23.7</w:t>
            </w: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23.9</w:t>
            </w:r>
          </w:p>
        </w:tc>
      </w:tr>
      <w:tr w:rsidR="00805C69" w:rsidRPr="00D8202E" w:rsidTr="00805C69">
        <w:trPr>
          <w:trHeight w:val="255"/>
        </w:trPr>
        <w:tc>
          <w:tcPr>
            <w:tcW w:w="1350" w:type="dxa"/>
            <w:shd w:val="clear" w:color="auto" w:fill="auto"/>
            <w:noWrap/>
            <w:vAlign w:val="bottom"/>
          </w:tcPr>
          <w:p w:rsidR="00805C69" w:rsidRPr="00D8202E"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RMSE</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27.3</w:t>
            </w: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27.6</w:t>
            </w:r>
          </w:p>
        </w:tc>
      </w:tr>
      <w:tr w:rsidR="00805C69" w:rsidRPr="00D8202E" w:rsidTr="00805C69">
        <w:trPr>
          <w:trHeight w:val="255"/>
        </w:trPr>
        <w:tc>
          <w:tcPr>
            <w:tcW w:w="1350" w:type="dxa"/>
            <w:shd w:val="clear" w:color="auto" w:fill="auto"/>
            <w:noWrap/>
            <w:vAlign w:val="bottom"/>
          </w:tcPr>
          <w:p w:rsidR="00805C69" w:rsidRPr="00D8202E"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MAPE</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33.0</w:t>
            </w: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33.3</w:t>
            </w:r>
          </w:p>
        </w:tc>
      </w:tr>
      <w:tr w:rsidR="00805C69" w:rsidRPr="00D8202E" w:rsidTr="00805C69">
        <w:trPr>
          <w:trHeight w:val="255"/>
        </w:trPr>
        <w:tc>
          <w:tcPr>
            <w:tcW w:w="1350" w:type="dxa"/>
            <w:shd w:val="clear" w:color="auto" w:fill="auto"/>
            <w:noWrap/>
            <w:vAlign w:val="bottom"/>
          </w:tcPr>
          <w:p w:rsidR="00805C69"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α</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0.96</w:t>
            </w: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0.97</w:t>
            </w:r>
          </w:p>
        </w:tc>
      </w:tr>
      <w:tr w:rsidR="00805C69" w:rsidRPr="00D8202E" w:rsidTr="00805C69">
        <w:trPr>
          <w:trHeight w:val="255"/>
        </w:trPr>
        <w:tc>
          <w:tcPr>
            <w:tcW w:w="1350" w:type="dxa"/>
            <w:shd w:val="clear" w:color="auto" w:fill="auto"/>
            <w:noWrap/>
            <w:vAlign w:val="bottom"/>
          </w:tcPr>
          <w:p w:rsidR="00805C69"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β</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0.43</w:t>
            </w: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0.44</w:t>
            </w:r>
          </w:p>
        </w:tc>
      </w:tr>
      <w:tr w:rsidR="00805C69" w:rsidRPr="00D8202E" w:rsidTr="00805C69">
        <w:trPr>
          <w:trHeight w:val="255"/>
        </w:trPr>
        <w:tc>
          <w:tcPr>
            <w:tcW w:w="1350" w:type="dxa"/>
            <w:shd w:val="clear" w:color="auto" w:fill="auto"/>
            <w:noWrap/>
            <w:vAlign w:val="bottom"/>
          </w:tcPr>
          <w:p w:rsidR="00805C69"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φ</w:t>
            </w:r>
          </w:p>
        </w:tc>
        <w:tc>
          <w:tcPr>
            <w:tcW w:w="1440" w:type="dxa"/>
            <w:shd w:val="clear" w:color="auto" w:fill="auto"/>
            <w:noWrap/>
            <w:vAlign w:val="bottom"/>
          </w:tcPr>
          <w:p w:rsidR="00805C69" w:rsidRDefault="00805C69" w:rsidP="005B5E96">
            <w:pPr>
              <w:spacing w:line="240" w:lineRule="auto"/>
              <w:jc w:val="center"/>
              <w:rPr>
                <w:rFonts w:ascii="Arial" w:eastAsia="Times New Roman" w:hAnsi="Arial" w:cs="Arial"/>
                <w:sz w:val="20"/>
                <w:szCs w:val="20"/>
                <w:lang w:eastAsia="zh-CN"/>
              </w:rPr>
            </w:pP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0.88</w:t>
            </w:r>
          </w:p>
        </w:tc>
      </w:tr>
      <w:tr w:rsidR="00805C69" w:rsidRPr="00D8202E" w:rsidTr="00805C69">
        <w:trPr>
          <w:trHeight w:val="255"/>
        </w:trPr>
        <w:tc>
          <w:tcPr>
            <w:tcW w:w="1350" w:type="dxa"/>
            <w:shd w:val="clear" w:color="auto" w:fill="auto"/>
            <w:noWrap/>
            <w:vAlign w:val="bottom"/>
          </w:tcPr>
          <w:p w:rsidR="00805C69"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SE</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6.11</w:t>
            </w: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6.10</w:t>
            </w:r>
          </w:p>
        </w:tc>
      </w:tr>
      <w:tr w:rsidR="00805C69" w:rsidRPr="00D8202E" w:rsidTr="00805C69">
        <w:trPr>
          <w:trHeight w:val="255"/>
        </w:trPr>
        <w:tc>
          <w:tcPr>
            <w:tcW w:w="1350" w:type="dxa"/>
            <w:shd w:val="clear" w:color="auto" w:fill="auto"/>
            <w:noWrap/>
            <w:vAlign w:val="bottom"/>
          </w:tcPr>
          <w:p w:rsidR="00805C69"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95% PI</w:t>
            </w:r>
          </w:p>
          <w:p w:rsidR="00805C69"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F+/- value</w:t>
            </w:r>
          </w:p>
        </w:tc>
        <w:tc>
          <w:tcPr>
            <w:tcW w:w="144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11.98</w:t>
            </w:r>
          </w:p>
        </w:tc>
        <w:tc>
          <w:tcPr>
            <w:tcW w:w="1710" w:type="dxa"/>
            <w:shd w:val="clear" w:color="auto" w:fill="auto"/>
            <w:noWrap/>
            <w:vAlign w:val="bottom"/>
          </w:tcPr>
          <w:p w:rsidR="00805C69" w:rsidRPr="00D8202E"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11.97</w:t>
            </w:r>
          </w:p>
        </w:tc>
      </w:tr>
      <w:tr w:rsidR="00805C69" w:rsidTr="00805C69">
        <w:trPr>
          <w:trHeight w:val="255"/>
        </w:trPr>
        <w:tc>
          <w:tcPr>
            <w:tcW w:w="1350" w:type="dxa"/>
            <w:shd w:val="clear" w:color="auto" w:fill="auto"/>
            <w:noWrap/>
            <w:vAlign w:val="bottom"/>
          </w:tcPr>
          <w:p w:rsidR="00805C69" w:rsidRDefault="00805C69" w:rsidP="005B5E96">
            <w:pPr>
              <w:spacing w:line="240" w:lineRule="auto"/>
              <w:jc w:val="right"/>
              <w:rPr>
                <w:rFonts w:ascii="Arial" w:hAnsi="Arial" w:cs="Arial"/>
                <w:sz w:val="20"/>
                <w:szCs w:val="20"/>
                <w:lang w:eastAsia="zh-CN"/>
              </w:rPr>
            </w:pPr>
            <w:r>
              <w:rPr>
                <w:rFonts w:ascii="Arial" w:hAnsi="Arial" w:cs="Arial"/>
                <w:sz w:val="20"/>
                <w:szCs w:val="20"/>
                <w:lang w:eastAsia="zh-CN"/>
              </w:rPr>
              <w:t>Inside PI?</w:t>
            </w:r>
          </w:p>
        </w:tc>
        <w:tc>
          <w:tcPr>
            <w:tcW w:w="1440" w:type="dxa"/>
            <w:shd w:val="clear" w:color="auto" w:fill="auto"/>
            <w:noWrap/>
            <w:vAlign w:val="bottom"/>
          </w:tcPr>
          <w:p w:rsidR="00805C69"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w:t>
            </w:r>
          </w:p>
        </w:tc>
        <w:tc>
          <w:tcPr>
            <w:tcW w:w="1710" w:type="dxa"/>
            <w:shd w:val="clear" w:color="auto" w:fill="auto"/>
            <w:noWrap/>
            <w:vAlign w:val="bottom"/>
          </w:tcPr>
          <w:p w:rsidR="00805C69" w:rsidRDefault="00805C69" w:rsidP="005B5E96">
            <w:pPr>
              <w:spacing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1/8</w:t>
            </w:r>
          </w:p>
        </w:tc>
      </w:tr>
    </w:tbl>
    <w:p w:rsidR="00805C69" w:rsidRDefault="00805C69" w:rsidP="00512A8E"/>
    <w:p w:rsidR="00805C69" w:rsidRDefault="00805C69" w:rsidP="00512A8E">
      <w:r>
        <w:t>The Box-Cox transform does not offer any improvement in this case.</w:t>
      </w:r>
    </w:p>
    <w:p w:rsidR="00CC57D9" w:rsidRDefault="00CC57D9" w:rsidP="00512A8E"/>
    <w:p w:rsidR="00CC57D9" w:rsidRPr="00CC57D9" w:rsidRDefault="00CC57D9" w:rsidP="00771AC9">
      <w:pPr>
        <w:pStyle w:val="Heading3"/>
      </w:pPr>
      <w:r w:rsidRPr="00CC57D9">
        <w:t>Minicase 3.1</w:t>
      </w:r>
    </w:p>
    <w:p w:rsidR="001A027B" w:rsidRPr="00771AC9" w:rsidRDefault="001A027B" w:rsidP="00512A8E">
      <w:pPr>
        <w:rPr>
          <w:sz w:val="22"/>
        </w:rPr>
      </w:pPr>
      <w:r w:rsidRPr="00771AC9">
        <w:rPr>
          <w:sz w:val="22"/>
        </w:rPr>
        <w:t>The data show cyclical effects but not systematic trend. Check SES, LES and DES.</w:t>
      </w:r>
    </w:p>
    <w:p w:rsidR="001A027B" w:rsidRDefault="001A027B" w:rsidP="00512A8E"/>
    <w:p w:rsidR="001A027B" w:rsidRPr="001A027B" w:rsidRDefault="001A027B" w:rsidP="00771AC9">
      <w:pPr>
        <w:pStyle w:val="Heading3"/>
      </w:pPr>
      <w:r w:rsidRPr="001A027B">
        <w:t>Minicase 3.2</w:t>
      </w:r>
    </w:p>
    <w:p w:rsidR="00CC57D9" w:rsidRPr="00771AC9" w:rsidRDefault="001A027B" w:rsidP="00512A8E">
      <w:pPr>
        <w:rPr>
          <w:sz w:val="22"/>
        </w:rPr>
      </w:pPr>
      <w:r w:rsidRPr="00771AC9">
        <w:rPr>
          <w:sz w:val="22"/>
        </w:rPr>
        <w:t>Forecast developments for the three types of store (clear trends). Possible correlations because of store upgrades?</w:t>
      </w:r>
    </w:p>
    <w:p w:rsidR="001A027B" w:rsidRDefault="001A027B" w:rsidP="00512A8E"/>
    <w:p w:rsidR="001A027B" w:rsidRDefault="001A027B" w:rsidP="00492082">
      <w:pPr>
        <w:pStyle w:val="Heading3"/>
      </w:pPr>
      <w:bookmarkStart w:id="1" w:name="_GoBack"/>
      <w:r w:rsidRPr="001A027B">
        <w:t>Minicase 3.3</w:t>
      </w:r>
    </w:p>
    <w:bookmarkEnd w:id="1"/>
    <w:p w:rsidR="001A027B" w:rsidRPr="00771AC9" w:rsidRDefault="001A027B" w:rsidP="001A027B">
      <w:pPr>
        <w:rPr>
          <w:sz w:val="22"/>
        </w:rPr>
      </w:pPr>
      <w:r w:rsidRPr="00771AC9">
        <w:rPr>
          <w:sz w:val="22"/>
        </w:rPr>
        <w:t>Returns will come out very close to a random walk, as expected. Is Volatility predictable? Check using SES and possibly DES.</w:t>
      </w:r>
    </w:p>
    <w:sectPr w:rsidR="001A027B" w:rsidRPr="00771AC9" w:rsidSect="00495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AC" w:rsidRDefault="00CF17AC" w:rsidP="00FB4A45">
      <w:pPr>
        <w:spacing w:line="240" w:lineRule="auto"/>
      </w:pPr>
      <w:r>
        <w:separator/>
      </w:r>
    </w:p>
  </w:endnote>
  <w:endnote w:type="continuationSeparator" w:id="0">
    <w:p w:rsidR="00CF17AC" w:rsidRDefault="00CF17AC" w:rsidP="00FB4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AC" w:rsidRDefault="00CF17AC" w:rsidP="00FB4A45">
      <w:pPr>
        <w:spacing w:line="240" w:lineRule="auto"/>
      </w:pPr>
      <w:r>
        <w:separator/>
      </w:r>
    </w:p>
  </w:footnote>
  <w:footnote w:type="continuationSeparator" w:id="0">
    <w:p w:rsidR="00CF17AC" w:rsidRDefault="00CF17AC" w:rsidP="00FB4A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222"/>
    <w:multiLevelType w:val="hybridMultilevel"/>
    <w:tmpl w:val="EBF6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5548DC"/>
    <w:multiLevelType w:val="hybridMultilevel"/>
    <w:tmpl w:val="3CF27A6A"/>
    <w:lvl w:ilvl="0" w:tplc="F3B4E17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E"/>
    <w:rsid w:val="00005447"/>
    <w:rsid w:val="00014396"/>
    <w:rsid w:val="00014EAC"/>
    <w:rsid w:val="00017ED0"/>
    <w:rsid w:val="00021D48"/>
    <w:rsid w:val="000266F1"/>
    <w:rsid w:val="00043C32"/>
    <w:rsid w:val="00084897"/>
    <w:rsid w:val="00086E3B"/>
    <w:rsid w:val="000C0756"/>
    <w:rsid w:val="000C7199"/>
    <w:rsid w:val="000C78B6"/>
    <w:rsid w:val="00121B86"/>
    <w:rsid w:val="00136D23"/>
    <w:rsid w:val="00140F5E"/>
    <w:rsid w:val="00163481"/>
    <w:rsid w:val="0019305D"/>
    <w:rsid w:val="001A027B"/>
    <w:rsid w:val="001C6782"/>
    <w:rsid w:val="001E42FF"/>
    <w:rsid w:val="00203AC1"/>
    <w:rsid w:val="00214B47"/>
    <w:rsid w:val="00224B20"/>
    <w:rsid w:val="00254F89"/>
    <w:rsid w:val="002A3C44"/>
    <w:rsid w:val="002E1261"/>
    <w:rsid w:val="00303C34"/>
    <w:rsid w:val="00317D73"/>
    <w:rsid w:val="00347A53"/>
    <w:rsid w:val="00356804"/>
    <w:rsid w:val="0040314C"/>
    <w:rsid w:val="00415E90"/>
    <w:rsid w:val="00417DBE"/>
    <w:rsid w:val="00433087"/>
    <w:rsid w:val="00485A90"/>
    <w:rsid w:val="00492082"/>
    <w:rsid w:val="004954D3"/>
    <w:rsid w:val="004A45D8"/>
    <w:rsid w:val="004F2C71"/>
    <w:rsid w:val="00512A8E"/>
    <w:rsid w:val="0054197D"/>
    <w:rsid w:val="005504DD"/>
    <w:rsid w:val="005523C7"/>
    <w:rsid w:val="0056152B"/>
    <w:rsid w:val="00580290"/>
    <w:rsid w:val="005B071C"/>
    <w:rsid w:val="005B5E96"/>
    <w:rsid w:val="005D343E"/>
    <w:rsid w:val="005E0F96"/>
    <w:rsid w:val="0066775D"/>
    <w:rsid w:val="00667C41"/>
    <w:rsid w:val="00691EAE"/>
    <w:rsid w:val="00694B5F"/>
    <w:rsid w:val="006C2B91"/>
    <w:rsid w:val="006D42FC"/>
    <w:rsid w:val="00771AC9"/>
    <w:rsid w:val="007B21F7"/>
    <w:rsid w:val="007B4DBC"/>
    <w:rsid w:val="007E1129"/>
    <w:rsid w:val="007E5118"/>
    <w:rsid w:val="007F01A5"/>
    <w:rsid w:val="00804213"/>
    <w:rsid w:val="00805C69"/>
    <w:rsid w:val="008160AA"/>
    <w:rsid w:val="008160EA"/>
    <w:rsid w:val="008175E7"/>
    <w:rsid w:val="008438C4"/>
    <w:rsid w:val="00861391"/>
    <w:rsid w:val="00893687"/>
    <w:rsid w:val="008C01E7"/>
    <w:rsid w:val="008D6DC6"/>
    <w:rsid w:val="008E7F1D"/>
    <w:rsid w:val="00923F59"/>
    <w:rsid w:val="00924848"/>
    <w:rsid w:val="00924D38"/>
    <w:rsid w:val="0094418E"/>
    <w:rsid w:val="00963DDC"/>
    <w:rsid w:val="00964A3D"/>
    <w:rsid w:val="00971932"/>
    <w:rsid w:val="00987C14"/>
    <w:rsid w:val="009B3A8C"/>
    <w:rsid w:val="009F3870"/>
    <w:rsid w:val="009F6E27"/>
    <w:rsid w:val="00A10DC2"/>
    <w:rsid w:val="00A1222D"/>
    <w:rsid w:val="00A21FAC"/>
    <w:rsid w:val="00A50BDF"/>
    <w:rsid w:val="00AA5246"/>
    <w:rsid w:val="00AA6702"/>
    <w:rsid w:val="00AD67BE"/>
    <w:rsid w:val="00AE635F"/>
    <w:rsid w:val="00B22042"/>
    <w:rsid w:val="00B33898"/>
    <w:rsid w:val="00B6259F"/>
    <w:rsid w:val="00B830F7"/>
    <w:rsid w:val="00B90180"/>
    <w:rsid w:val="00B92C67"/>
    <w:rsid w:val="00BE4EF8"/>
    <w:rsid w:val="00BE7F3E"/>
    <w:rsid w:val="00C446EE"/>
    <w:rsid w:val="00C4574E"/>
    <w:rsid w:val="00C54673"/>
    <w:rsid w:val="00C61B87"/>
    <w:rsid w:val="00C7156F"/>
    <w:rsid w:val="00C731AB"/>
    <w:rsid w:val="00C83478"/>
    <w:rsid w:val="00C92AE2"/>
    <w:rsid w:val="00C9731A"/>
    <w:rsid w:val="00CA325B"/>
    <w:rsid w:val="00CA3A69"/>
    <w:rsid w:val="00CB6854"/>
    <w:rsid w:val="00CB6C37"/>
    <w:rsid w:val="00CC57D9"/>
    <w:rsid w:val="00CD619E"/>
    <w:rsid w:val="00CE2B30"/>
    <w:rsid w:val="00CE3352"/>
    <w:rsid w:val="00CE3E88"/>
    <w:rsid w:val="00CF17AC"/>
    <w:rsid w:val="00D36824"/>
    <w:rsid w:val="00D80048"/>
    <w:rsid w:val="00D8202E"/>
    <w:rsid w:val="00D945E2"/>
    <w:rsid w:val="00DA0160"/>
    <w:rsid w:val="00DA2A9A"/>
    <w:rsid w:val="00DB28B1"/>
    <w:rsid w:val="00DF1D9C"/>
    <w:rsid w:val="00DF5412"/>
    <w:rsid w:val="00E11611"/>
    <w:rsid w:val="00E22D04"/>
    <w:rsid w:val="00E31B9A"/>
    <w:rsid w:val="00E46225"/>
    <w:rsid w:val="00E72FEA"/>
    <w:rsid w:val="00E82B76"/>
    <w:rsid w:val="00EA7FCF"/>
    <w:rsid w:val="00EC7C71"/>
    <w:rsid w:val="00F45D82"/>
    <w:rsid w:val="00F55E23"/>
    <w:rsid w:val="00F77191"/>
    <w:rsid w:val="00F8701B"/>
    <w:rsid w:val="00FA44F0"/>
    <w:rsid w:val="00FA65AF"/>
    <w:rsid w:val="00FB4864"/>
    <w:rsid w:val="00FB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5048EBA"/>
  <w15:docId w15:val="{E5D66930-CA52-44F4-996E-36E756FD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3"/>
  </w:style>
  <w:style w:type="paragraph" w:styleId="Heading1">
    <w:name w:val="heading 1"/>
    <w:basedOn w:val="Normal"/>
    <w:next w:val="Normal"/>
    <w:link w:val="Heading1Char"/>
    <w:uiPriority w:val="9"/>
    <w:qFormat/>
    <w:rsid w:val="009441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2A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7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F17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18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92AE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TDisplayEquation">
    <w:name w:val="MTDisplayEquation"/>
    <w:basedOn w:val="Normal"/>
    <w:next w:val="Normal"/>
    <w:link w:val="MTDisplayEquationChar"/>
    <w:rsid w:val="00214B47"/>
    <w:pPr>
      <w:tabs>
        <w:tab w:val="center" w:pos="4680"/>
        <w:tab w:val="right" w:pos="9360"/>
      </w:tabs>
    </w:pPr>
  </w:style>
  <w:style w:type="character" w:customStyle="1" w:styleId="MTDisplayEquationChar">
    <w:name w:val="MTDisplayEquation Char"/>
    <w:basedOn w:val="DefaultParagraphFont"/>
    <w:link w:val="MTDisplayEquation"/>
    <w:rsid w:val="00214B47"/>
  </w:style>
  <w:style w:type="paragraph" w:styleId="BalloonText">
    <w:name w:val="Balloon Text"/>
    <w:basedOn w:val="Normal"/>
    <w:link w:val="BalloonTextChar"/>
    <w:uiPriority w:val="99"/>
    <w:semiHidden/>
    <w:unhideWhenUsed/>
    <w:rsid w:val="00AE63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5F"/>
    <w:rPr>
      <w:rFonts w:ascii="Tahoma" w:hAnsi="Tahoma" w:cs="Tahoma"/>
      <w:sz w:val="16"/>
      <w:szCs w:val="16"/>
    </w:rPr>
  </w:style>
  <w:style w:type="character" w:customStyle="1" w:styleId="Heading2Char">
    <w:name w:val="Heading 2 Char"/>
    <w:basedOn w:val="DefaultParagraphFont"/>
    <w:link w:val="Heading2"/>
    <w:uiPriority w:val="9"/>
    <w:rsid w:val="00512A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B4A45"/>
    <w:pPr>
      <w:tabs>
        <w:tab w:val="center" w:pos="4680"/>
        <w:tab w:val="right" w:pos="9360"/>
      </w:tabs>
      <w:spacing w:line="240" w:lineRule="auto"/>
    </w:pPr>
  </w:style>
  <w:style w:type="character" w:customStyle="1" w:styleId="HeaderChar">
    <w:name w:val="Header Char"/>
    <w:basedOn w:val="DefaultParagraphFont"/>
    <w:link w:val="Header"/>
    <w:uiPriority w:val="99"/>
    <w:rsid w:val="00FB4A45"/>
  </w:style>
  <w:style w:type="paragraph" w:styleId="Footer">
    <w:name w:val="footer"/>
    <w:basedOn w:val="Normal"/>
    <w:link w:val="FooterChar"/>
    <w:uiPriority w:val="99"/>
    <w:unhideWhenUsed/>
    <w:rsid w:val="00FB4A45"/>
    <w:pPr>
      <w:tabs>
        <w:tab w:val="center" w:pos="4680"/>
        <w:tab w:val="right" w:pos="9360"/>
      </w:tabs>
      <w:spacing w:line="240" w:lineRule="auto"/>
    </w:pPr>
  </w:style>
  <w:style w:type="character" w:customStyle="1" w:styleId="FooterChar">
    <w:name w:val="Footer Char"/>
    <w:basedOn w:val="DefaultParagraphFont"/>
    <w:link w:val="Footer"/>
    <w:uiPriority w:val="99"/>
    <w:rsid w:val="00FB4A45"/>
  </w:style>
  <w:style w:type="character" w:styleId="PlaceholderText">
    <w:name w:val="Placeholder Text"/>
    <w:basedOn w:val="DefaultParagraphFont"/>
    <w:uiPriority w:val="99"/>
    <w:semiHidden/>
    <w:rsid w:val="00A10DC2"/>
    <w:rPr>
      <w:color w:val="808080"/>
    </w:rPr>
  </w:style>
  <w:style w:type="paragraph" w:styleId="ListParagraph">
    <w:name w:val="List Paragraph"/>
    <w:basedOn w:val="Normal"/>
    <w:uiPriority w:val="34"/>
    <w:qFormat/>
    <w:rsid w:val="00FB4864"/>
    <w:pPr>
      <w:ind w:left="720"/>
      <w:contextualSpacing/>
    </w:pPr>
  </w:style>
  <w:style w:type="character" w:customStyle="1" w:styleId="Heading3Char">
    <w:name w:val="Heading 3 Char"/>
    <w:basedOn w:val="DefaultParagraphFont"/>
    <w:link w:val="Heading3"/>
    <w:uiPriority w:val="9"/>
    <w:rsid w:val="00CF17A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CF17A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06">
      <w:bodyDiv w:val="1"/>
      <w:marLeft w:val="0"/>
      <w:marRight w:val="0"/>
      <w:marTop w:val="0"/>
      <w:marBottom w:val="0"/>
      <w:divBdr>
        <w:top w:val="none" w:sz="0" w:space="0" w:color="auto"/>
        <w:left w:val="none" w:sz="0" w:space="0" w:color="auto"/>
        <w:bottom w:val="none" w:sz="0" w:space="0" w:color="auto"/>
        <w:right w:val="none" w:sz="0" w:space="0" w:color="auto"/>
      </w:divBdr>
    </w:div>
    <w:div w:id="1595205">
      <w:bodyDiv w:val="1"/>
      <w:marLeft w:val="0"/>
      <w:marRight w:val="0"/>
      <w:marTop w:val="0"/>
      <w:marBottom w:val="0"/>
      <w:divBdr>
        <w:top w:val="none" w:sz="0" w:space="0" w:color="auto"/>
        <w:left w:val="none" w:sz="0" w:space="0" w:color="auto"/>
        <w:bottom w:val="none" w:sz="0" w:space="0" w:color="auto"/>
        <w:right w:val="none" w:sz="0" w:space="0" w:color="auto"/>
      </w:divBdr>
    </w:div>
    <w:div w:id="28183803">
      <w:bodyDiv w:val="1"/>
      <w:marLeft w:val="0"/>
      <w:marRight w:val="0"/>
      <w:marTop w:val="0"/>
      <w:marBottom w:val="0"/>
      <w:divBdr>
        <w:top w:val="none" w:sz="0" w:space="0" w:color="auto"/>
        <w:left w:val="none" w:sz="0" w:space="0" w:color="auto"/>
        <w:bottom w:val="none" w:sz="0" w:space="0" w:color="auto"/>
        <w:right w:val="none" w:sz="0" w:space="0" w:color="auto"/>
      </w:divBdr>
    </w:div>
    <w:div w:id="47457727">
      <w:bodyDiv w:val="1"/>
      <w:marLeft w:val="0"/>
      <w:marRight w:val="0"/>
      <w:marTop w:val="0"/>
      <w:marBottom w:val="0"/>
      <w:divBdr>
        <w:top w:val="none" w:sz="0" w:space="0" w:color="auto"/>
        <w:left w:val="none" w:sz="0" w:space="0" w:color="auto"/>
        <w:bottom w:val="none" w:sz="0" w:space="0" w:color="auto"/>
        <w:right w:val="none" w:sz="0" w:space="0" w:color="auto"/>
      </w:divBdr>
    </w:div>
    <w:div w:id="85662468">
      <w:bodyDiv w:val="1"/>
      <w:marLeft w:val="0"/>
      <w:marRight w:val="0"/>
      <w:marTop w:val="0"/>
      <w:marBottom w:val="0"/>
      <w:divBdr>
        <w:top w:val="none" w:sz="0" w:space="0" w:color="auto"/>
        <w:left w:val="none" w:sz="0" w:space="0" w:color="auto"/>
        <w:bottom w:val="none" w:sz="0" w:space="0" w:color="auto"/>
        <w:right w:val="none" w:sz="0" w:space="0" w:color="auto"/>
      </w:divBdr>
    </w:div>
    <w:div w:id="113332716">
      <w:bodyDiv w:val="1"/>
      <w:marLeft w:val="0"/>
      <w:marRight w:val="0"/>
      <w:marTop w:val="0"/>
      <w:marBottom w:val="0"/>
      <w:divBdr>
        <w:top w:val="none" w:sz="0" w:space="0" w:color="auto"/>
        <w:left w:val="none" w:sz="0" w:space="0" w:color="auto"/>
        <w:bottom w:val="none" w:sz="0" w:space="0" w:color="auto"/>
        <w:right w:val="none" w:sz="0" w:space="0" w:color="auto"/>
      </w:divBdr>
    </w:div>
    <w:div w:id="245892875">
      <w:bodyDiv w:val="1"/>
      <w:marLeft w:val="0"/>
      <w:marRight w:val="0"/>
      <w:marTop w:val="0"/>
      <w:marBottom w:val="0"/>
      <w:divBdr>
        <w:top w:val="none" w:sz="0" w:space="0" w:color="auto"/>
        <w:left w:val="none" w:sz="0" w:space="0" w:color="auto"/>
        <w:bottom w:val="none" w:sz="0" w:space="0" w:color="auto"/>
        <w:right w:val="none" w:sz="0" w:space="0" w:color="auto"/>
      </w:divBdr>
    </w:div>
    <w:div w:id="250436702">
      <w:bodyDiv w:val="1"/>
      <w:marLeft w:val="0"/>
      <w:marRight w:val="0"/>
      <w:marTop w:val="0"/>
      <w:marBottom w:val="0"/>
      <w:divBdr>
        <w:top w:val="none" w:sz="0" w:space="0" w:color="auto"/>
        <w:left w:val="none" w:sz="0" w:space="0" w:color="auto"/>
        <w:bottom w:val="none" w:sz="0" w:space="0" w:color="auto"/>
        <w:right w:val="none" w:sz="0" w:space="0" w:color="auto"/>
      </w:divBdr>
    </w:div>
    <w:div w:id="259995594">
      <w:bodyDiv w:val="1"/>
      <w:marLeft w:val="0"/>
      <w:marRight w:val="0"/>
      <w:marTop w:val="0"/>
      <w:marBottom w:val="0"/>
      <w:divBdr>
        <w:top w:val="none" w:sz="0" w:space="0" w:color="auto"/>
        <w:left w:val="none" w:sz="0" w:space="0" w:color="auto"/>
        <w:bottom w:val="none" w:sz="0" w:space="0" w:color="auto"/>
        <w:right w:val="none" w:sz="0" w:space="0" w:color="auto"/>
      </w:divBdr>
    </w:div>
    <w:div w:id="268854140">
      <w:bodyDiv w:val="1"/>
      <w:marLeft w:val="0"/>
      <w:marRight w:val="0"/>
      <w:marTop w:val="0"/>
      <w:marBottom w:val="0"/>
      <w:divBdr>
        <w:top w:val="none" w:sz="0" w:space="0" w:color="auto"/>
        <w:left w:val="none" w:sz="0" w:space="0" w:color="auto"/>
        <w:bottom w:val="none" w:sz="0" w:space="0" w:color="auto"/>
        <w:right w:val="none" w:sz="0" w:space="0" w:color="auto"/>
      </w:divBdr>
    </w:div>
    <w:div w:id="271863194">
      <w:bodyDiv w:val="1"/>
      <w:marLeft w:val="0"/>
      <w:marRight w:val="0"/>
      <w:marTop w:val="0"/>
      <w:marBottom w:val="0"/>
      <w:divBdr>
        <w:top w:val="none" w:sz="0" w:space="0" w:color="auto"/>
        <w:left w:val="none" w:sz="0" w:space="0" w:color="auto"/>
        <w:bottom w:val="none" w:sz="0" w:space="0" w:color="auto"/>
        <w:right w:val="none" w:sz="0" w:space="0" w:color="auto"/>
      </w:divBdr>
    </w:div>
    <w:div w:id="320502564">
      <w:bodyDiv w:val="1"/>
      <w:marLeft w:val="0"/>
      <w:marRight w:val="0"/>
      <w:marTop w:val="0"/>
      <w:marBottom w:val="0"/>
      <w:divBdr>
        <w:top w:val="none" w:sz="0" w:space="0" w:color="auto"/>
        <w:left w:val="none" w:sz="0" w:space="0" w:color="auto"/>
        <w:bottom w:val="none" w:sz="0" w:space="0" w:color="auto"/>
        <w:right w:val="none" w:sz="0" w:space="0" w:color="auto"/>
      </w:divBdr>
    </w:div>
    <w:div w:id="342437366">
      <w:bodyDiv w:val="1"/>
      <w:marLeft w:val="0"/>
      <w:marRight w:val="0"/>
      <w:marTop w:val="0"/>
      <w:marBottom w:val="0"/>
      <w:divBdr>
        <w:top w:val="none" w:sz="0" w:space="0" w:color="auto"/>
        <w:left w:val="none" w:sz="0" w:space="0" w:color="auto"/>
        <w:bottom w:val="none" w:sz="0" w:space="0" w:color="auto"/>
        <w:right w:val="none" w:sz="0" w:space="0" w:color="auto"/>
      </w:divBdr>
    </w:div>
    <w:div w:id="350036851">
      <w:bodyDiv w:val="1"/>
      <w:marLeft w:val="0"/>
      <w:marRight w:val="0"/>
      <w:marTop w:val="0"/>
      <w:marBottom w:val="0"/>
      <w:divBdr>
        <w:top w:val="none" w:sz="0" w:space="0" w:color="auto"/>
        <w:left w:val="none" w:sz="0" w:space="0" w:color="auto"/>
        <w:bottom w:val="none" w:sz="0" w:space="0" w:color="auto"/>
        <w:right w:val="none" w:sz="0" w:space="0" w:color="auto"/>
      </w:divBdr>
    </w:div>
    <w:div w:id="361243981">
      <w:bodyDiv w:val="1"/>
      <w:marLeft w:val="0"/>
      <w:marRight w:val="0"/>
      <w:marTop w:val="0"/>
      <w:marBottom w:val="0"/>
      <w:divBdr>
        <w:top w:val="none" w:sz="0" w:space="0" w:color="auto"/>
        <w:left w:val="none" w:sz="0" w:space="0" w:color="auto"/>
        <w:bottom w:val="none" w:sz="0" w:space="0" w:color="auto"/>
        <w:right w:val="none" w:sz="0" w:space="0" w:color="auto"/>
      </w:divBdr>
    </w:div>
    <w:div w:id="398745479">
      <w:bodyDiv w:val="1"/>
      <w:marLeft w:val="0"/>
      <w:marRight w:val="0"/>
      <w:marTop w:val="0"/>
      <w:marBottom w:val="0"/>
      <w:divBdr>
        <w:top w:val="none" w:sz="0" w:space="0" w:color="auto"/>
        <w:left w:val="none" w:sz="0" w:space="0" w:color="auto"/>
        <w:bottom w:val="none" w:sz="0" w:space="0" w:color="auto"/>
        <w:right w:val="none" w:sz="0" w:space="0" w:color="auto"/>
      </w:divBdr>
    </w:div>
    <w:div w:id="425662580">
      <w:bodyDiv w:val="1"/>
      <w:marLeft w:val="0"/>
      <w:marRight w:val="0"/>
      <w:marTop w:val="0"/>
      <w:marBottom w:val="0"/>
      <w:divBdr>
        <w:top w:val="none" w:sz="0" w:space="0" w:color="auto"/>
        <w:left w:val="none" w:sz="0" w:space="0" w:color="auto"/>
        <w:bottom w:val="none" w:sz="0" w:space="0" w:color="auto"/>
        <w:right w:val="none" w:sz="0" w:space="0" w:color="auto"/>
      </w:divBdr>
    </w:div>
    <w:div w:id="484591780">
      <w:bodyDiv w:val="1"/>
      <w:marLeft w:val="0"/>
      <w:marRight w:val="0"/>
      <w:marTop w:val="0"/>
      <w:marBottom w:val="0"/>
      <w:divBdr>
        <w:top w:val="none" w:sz="0" w:space="0" w:color="auto"/>
        <w:left w:val="none" w:sz="0" w:space="0" w:color="auto"/>
        <w:bottom w:val="none" w:sz="0" w:space="0" w:color="auto"/>
        <w:right w:val="none" w:sz="0" w:space="0" w:color="auto"/>
      </w:divBdr>
    </w:div>
    <w:div w:id="491454970">
      <w:bodyDiv w:val="1"/>
      <w:marLeft w:val="0"/>
      <w:marRight w:val="0"/>
      <w:marTop w:val="0"/>
      <w:marBottom w:val="0"/>
      <w:divBdr>
        <w:top w:val="none" w:sz="0" w:space="0" w:color="auto"/>
        <w:left w:val="none" w:sz="0" w:space="0" w:color="auto"/>
        <w:bottom w:val="none" w:sz="0" w:space="0" w:color="auto"/>
        <w:right w:val="none" w:sz="0" w:space="0" w:color="auto"/>
      </w:divBdr>
    </w:div>
    <w:div w:id="505632848">
      <w:bodyDiv w:val="1"/>
      <w:marLeft w:val="0"/>
      <w:marRight w:val="0"/>
      <w:marTop w:val="0"/>
      <w:marBottom w:val="0"/>
      <w:divBdr>
        <w:top w:val="none" w:sz="0" w:space="0" w:color="auto"/>
        <w:left w:val="none" w:sz="0" w:space="0" w:color="auto"/>
        <w:bottom w:val="none" w:sz="0" w:space="0" w:color="auto"/>
        <w:right w:val="none" w:sz="0" w:space="0" w:color="auto"/>
      </w:divBdr>
    </w:div>
    <w:div w:id="516697641">
      <w:bodyDiv w:val="1"/>
      <w:marLeft w:val="0"/>
      <w:marRight w:val="0"/>
      <w:marTop w:val="0"/>
      <w:marBottom w:val="0"/>
      <w:divBdr>
        <w:top w:val="none" w:sz="0" w:space="0" w:color="auto"/>
        <w:left w:val="none" w:sz="0" w:space="0" w:color="auto"/>
        <w:bottom w:val="none" w:sz="0" w:space="0" w:color="auto"/>
        <w:right w:val="none" w:sz="0" w:space="0" w:color="auto"/>
      </w:divBdr>
    </w:div>
    <w:div w:id="574365806">
      <w:bodyDiv w:val="1"/>
      <w:marLeft w:val="0"/>
      <w:marRight w:val="0"/>
      <w:marTop w:val="0"/>
      <w:marBottom w:val="0"/>
      <w:divBdr>
        <w:top w:val="none" w:sz="0" w:space="0" w:color="auto"/>
        <w:left w:val="none" w:sz="0" w:space="0" w:color="auto"/>
        <w:bottom w:val="none" w:sz="0" w:space="0" w:color="auto"/>
        <w:right w:val="none" w:sz="0" w:space="0" w:color="auto"/>
      </w:divBdr>
    </w:div>
    <w:div w:id="575407774">
      <w:bodyDiv w:val="1"/>
      <w:marLeft w:val="0"/>
      <w:marRight w:val="0"/>
      <w:marTop w:val="0"/>
      <w:marBottom w:val="0"/>
      <w:divBdr>
        <w:top w:val="none" w:sz="0" w:space="0" w:color="auto"/>
        <w:left w:val="none" w:sz="0" w:space="0" w:color="auto"/>
        <w:bottom w:val="none" w:sz="0" w:space="0" w:color="auto"/>
        <w:right w:val="none" w:sz="0" w:space="0" w:color="auto"/>
      </w:divBdr>
    </w:div>
    <w:div w:id="608438209">
      <w:bodyDiv w:val="1"/>
      <w:marLeft w:val="0"/>
      <w:marRight w:val="0"/>
      <w:marTop w:val="0"/>
      <w:marBottom w:val="0"/>
      <w:divBdr>
        <w:top w:val="none" w:sz="0" w:space="0" w:color="auto"/>
        <w:left w:val="none" w:sz="0" w:space="0" w:color="auto"/>
        <w:bottom w:val="none" w:sz="0" w:space="0" w:color="auto"/>
        <w:right w:val="none" w:sz="0" w:space="0" w:color="auto"/>
      </w:divBdr>
    </w:div>
    <w:div w:id="621497838">
      <w:bodyDiv w:val="1"/>
      <w:marLeft w:val="0"/>
      <w:marRight w:val="0"/>
      <w:marTop w:val="0"/>
      <w:marBottom w:val="0"/>
      <w:divBdr>
        <w:top w:val="none" w:sz="0" w:space="0" w:color="auto"/>
        <w:left w:val="none" w:sz="0" w:space="0" w:color="auto"/>
        <w:bottom w:val="none" w:sz="0" w:space="0" w:color="auto"/>
        <w:right w:val="none" w:sz="0" w:space="0" w:color="auto"/>
      </w:divBdr>
    </w:div>
    <w:div w:id="674117423">
      <w:bodyDiv w:val="1"/>
      <w:marLeft w:val="0"/>
      <w:marRight w:val="0"/>
      <w:marTop w:val="0"/>
      <w:marBottom w:val="0"/>
      <w:divBdr>
        <w:top w:val="none" w:sz="0" w:space="0" w:color="auto"/>
        <w:left w:val="none" w:sz="0" w:space="0" w:color="auto"/>
        <w:bottom w:val="none" w:sz="0" w:space="0" w:color="auto"/>
        <w:right w:val="none" w:sz="0" w:space="0" w:color="auto"/>
      </w:divBdr>
    </w:div>
    <w:div w:id="719134393">
      <w:bodyDiv w:val="1"/>
      <w:marLeft w:val="0"/>
      <w:marRight w:val="0"/>
      <w:marTop w:val="0"/>
      <w:marBottom w:val="0"/>
      <w:divBdr>
        <w:top w:val="none" w:sz="0" w:space="0" w:color="auto"/>
        <w:left w:val="none" w:sz="0" w:space="0" w:color="auto"/>
        <w:bottom w:val="none" w:sz="0" w:space="0" w:color="auto"/>
        <w:right w:val="none" w:sz="0" w:space="0" w:color="auto"/>
      </w:divBdr>
    </w:div>
    <w:div w:id="719212802">
      <w:bodyDiv w:val="1"/>
      <w:marLeft w:val="0"/>
      <w:marRight w:val="0"/>
      <w:marTop w:val="0"/>
      <w:marBottom w:val="0"/>
      <w:divBdr>
        <w:top w:val="none" w:sz="0" w:space="0" w:color="auto"/>
        <w:left w:val="none" w:sz="0" w:space="0" w:color="auto"/>
        <w:bottom w:val="none" w:sz="0" w:space="0" w:color="auto"/>
        <w:right w:val="none" w:sz="0" w:space="0" w:color="auto"/>
      </w:divBdr>
    </w:div>
    <w:div w:id="774985132">
      <w:bodyDiv w:val="1"/>
      <w:marLeft w:val="0"/>
      <w:marRight w:val="0"/>
      <w:marTop w:val="0"/>
      <w:marBottom w:val="0"/>
      <w:divBdr>
        <w:top w:val="none" w:sz="0" w:space="0" w:color="auto"/>
        <w:left w:val="none" w:sz="0" w:space="0" w:color="auto"/>
        <w:bottom w:val="none" w:sz="0" w:space="0" w:color="auto"/>
        <w:right w:val="none" w:sz="0" w:space="0" w:color="auto"/>
      </w:divBdr>
    </w:div>
    <w:div w:id="789589507">
      <w:bodyDiv w:val="1"/>
      <w:marLeft w:val="0"/>
      <w:marRight w:val="0"/>
      <w:marTop w:val="0"/>
      <w:marBottom w:val="0"/>
      <w:divBdr>
        <w:top w:val="none" w:sz="0" w:space="0" w:color="auto"/>
        <w:left w:val="none" w:sz="0" w:space="0" w:color="auto"/>
        <w:bottom w:val="none" w:sz="0" w:space="0" w:color="auto"/>
        <w:right w:val="none" w:sz="0" w:space="0" w:color="auto"/>
      </w:divBdr>
    </w:div>
    <w:div w:id="829561860">
      <w:bodyDiv w:val="1"/>
      <w:marLeft w:val="0"/>
      <w:marRight w:val="0"/>
      <w:marTop w:val="0"/>
      <w:marBottom w:val="0"/>
      <w:divBdr>
        <w:top w:val="none" w:sz="0" w:space="0" w:color="auto"/>
        <w:left w:val="none" w:sz="0" w:space="0" w:color="auto"/>
        <w:bottom w:val="none" w:sz="0" w:space="0" w:color="auto"/>
        <w:right w:val="none" w:sz="0" w:space="0" w:color="auto"/>
      </w:divBdr>
    </w:div>
    <w:div w:id="926502580">
      <w:bodyDiv w:val="1"/>
      <w:marLeft w:val="0"/>
      <w:marRight w:val="0"/>
      <w:marTop w:val="0"/>
      <w:marBottom w:val="0"/>
      <w:divBdr>
        <w:top w:val="none" w:sz="0" w:space="0" w:color="auto"/>
        <w:left w:val="none" w:sz="0" w:space="0" w:color="auto"/>
        <w:bottom w:val="none" w:sz="0" w:space="0" w:color="auto"/>
        <w:right w:val="none" w:sz="0" w:space="0" w:color="auto"/>
      </w:divBdr>
    </w:div>
    <w:div w:id="937370501">
      <w:bodyDiv w:val="1"/>
      <w:marLeft w:val="0"/>
      <w:marRight w:val="0"/>
      <w:marTop w:val="0"/>
      <w:marBottom w:val="0"/>
      <w:divBdr>
        <w:top w:val="none" w:sz="0" w:space="0" w:color="auto"/>
        <w:left w:val="none" w:sz="0" w:space="0" w:color="auto"/>
        <w:bottom w:val="none" w:sz="0" w:space="0" w:color="auto"/>
        <w:right w:val="none" w:sz="0" w:space="0" w:color="auto"/>
      </w:divBdr>
    </w:div>
    <w:div w:id="974485720">
      <w:bodyDiv w:val="1"/>
      <w:marLeft w:val="0"/>
      <w:marRight w:val="0"/>
      <w:marTop w:val="0"/>
      <w:marBottom w:val="0"/>
      <w:divBdr>
        <w:top w:val="none" w:sz="0" w:space="0" w:color="auto"/>
        <w:left w:val="none" w:sz="0" w:space="0" w:color="auto"/>
        <w:bottom w:val="none" w:sz="0" w:space="0" w:color="auto"/>
        <w:right w:val="none" w:sz="0" w:space="0" w:color="auto"/>
      </w:divBdr>
    </w:div>
    <w:div w:id="975598065">
      <w:bodyDiv w:val="1"/>
      <w:marLeft w:val="0"/>
      <w:marRight w:val="0"/>
      <w:marTop w:val="0"/>
      <w:marBottom w:val="0"/>
      <w:divBdr>
        <w:top w:val="none" w:sz="0" w:space="0" w:color="auto"/>
        <w:left w:val="none" w:sz="0" w:space="0" w:color="auto"/>
        <w:bottom w:val="none" w:sz="0" w:space="0" w:color="auto"/>
        <w:right w:val="none" w:sz="0" w:space="0" w:color="auto"/>
      </w:divBdr>
    </w:div>
    <w:div w:id="999699899">
      <w:bodyDiv w:val="1"/>
      <w:marLeft w:val="0"/>
      <w:marRight w:val="0"/>
      <w:marTop w:val="0"/>
      <w:marBottom w:val="0"/>
      <w:divBdr>
        <w:top w:val="none" w:sz="0" w:space="0" w:color="auto"/>
        <w:left w:val="none" w:sz="0" w:space="0" w:color="auto"/>
        <w:bottom w:val="none" w:sz="0" w:space="0" w:color="auto"/>
        <w:right w:val="none" w:sz="0" w:space="0" w:color="auto"/>
      </w:divBdr>
    </w:div>
    <w:div w:id="1050880601">
      <w:bodyDiv w:val="1"/>
      <w:marLeft w:val="0"/>
      <w:marRight w:val="0"/>
      <w:marTop w:val="0"/>
      <w:marBottom w:val="0"/>
      <w:divBdr>
        <w:top w:val="none" w:sz="0" w:space="0" w:color="auto"/>
        <w:left w:val="none" w:sz="0" w:space="0" w:color="auto"/>
        <w:bottom w:val="none" w:sz="0" w:space="0" w:color="auto"/>
        <w:right w:val="none" w:sz="0" w:space="0" w:color="auto"/>
      </w:divBdr>
    </w:div>
    <w:div w:id="1094324733">
      <w:bodyDiv w:val="1"/>
      <w:marLeft w:val="0"/>
      <w:marRight w:val="0"/>
      <w:marTop w:val="0"/>
      <w:marBottom w:val="0"/>
      <w:divBdr>
        <w:top w:val="none" w:sz="0" w:space="0" w:color="auto"/>
        <w:left w:val="none" w:sz="0" w:space="0" w:color="auto"/>
        <w:bottom w:val="none" w:sz="0" w:space="0" w:color="auto"/>
        <w:right w:val="none" w:sz="0" w:space="0" w:color="auto"/>
      </w:divBdr>
    </w:div>
    <w:div w:id="1105463752">
      <w:bodyDiv w:val="1"/>
      <w:marLeft w:val="0"/>
      <w:marRight w:val="0"/>
      <w:marTop w:val="0"/>
      <w:marBottom w:val="0"/>
      <w:divBdr>
        <w:top w:val="none" w:sz="0" w:space="0" w:color="auto"/>
        <w:left w:val="none" w:sz="0" w:space="0" w:color="auto"/>
        <w:bottom w:val="none" w:sz="0" w:space="0" w:color="auto"/>
        <w:right w:val="none" w:sz="0" w:space="0" w:color="auto"/>
      </w:divBdr>
    </w:div>
    <w:div w:id="1153373810">
      <w:bodyDiv w:val="1"/>
      <w:marLeft w:val="0"/>
      <w:marRight w:val="0"/>
      <w:marTop w:val="0"/>
      <w:marBottom w:val="0"/>
      <w:divBdr>
        <w:top w:val="none" w:sz="0" w:space="0" w:color="auto"/>
        <w:left w:val="none" w:sz="0" w:space="0" w:color="auto"/>
        <w:bottom w:val="none" w:sz="0" w:space="0" w:color="auto"/>
        <w:right w:val="none" w:sz="0" w:space="0" w:color="auto"/>
      </w:divBdr>
    </w:div>
    <w:div w:id="1199049715">
      <w:bodyDiv w:val="1"/>
      <w:marLeft w:val="0"/>
      <w:marRight w:val="0"/>
      <w:marTop w:val="0"/>
      <w:marBottom w:val="0"/>
      <w:divBdr>
        <w:top w:val="none" w:sz="0" w:space="0" w:color="auto"/>
        <w:left w:val="none" w:sz="0" w:space="0" w:color="auto"/>
        <w:bottom w:val="none" w:sz="0" w:space="0" w:color="auto"/>
        <w:right w:val="none" w:sz="0" w:space="0" w:color="auto"/>
      </w:divBdr>
    </w:div>
    <w:div w:id="1215046216">
      <w:bodyDiv w:val="1"/>
      <w:marLeft w:val="0"/>
      <w:marRight w:val="0"/>
      <w:marTop w:val="0"/>
      <w:marBottom w:val="0"/>
      <w:divBdr>
        <w:top w:val="none" w:sz="0" w:space="0" w:color="auto"/>
        <w:left w:val="none" w:sz="0" w:space="0" w:color="auto"/>
        <w:bottom w:val="none" w:sz="0" w:space="0" w:color="auto"/>
        <w:right w:val="none" w:sz="0" w:space="0" w:color="auto"/>
      </w:divBdr>
    </w:div>
    <w:div w:id="1218588502">
      <w:bodyDiv w:val="1"/>
      <w:marLeft w:val="0"/>
      <w:marRight w:val="0"/>
      <w:marTop w:val="0"/>
      <w:marBottom w:val="0"/>
      <w:divBdr>
        <w:top w:val="none" w:sz="0" w:space="0" w:color="auto"/>
        <w:left w:val="none" w:sz="0" w:space="0" w:color="auto"/>
        <w:bottom w:val="none" w:sz="0" w:space="0" w:color="auto"/>
        <w:right w:val="none" w:sz="0" w:space="0" w:color="auto"/>
      </w:divBdr>
    </w:div>
    <w:div w:id="1229076484">
      <w:bodyDiv w:val="1"/>
      <w:marLeft w:val="0"/>
      <w:marRight w:val="0"/>
      <w:marTop w:val="0"/>
      <w:marBottom w:val="0"/>
      <w:divBdr>
        <w:top w:val="none" w:sz="0" w:space="0" w:color="auto"/>
        <w:left w:val="none" w:sz="0" w:space="0" w:color="auto"/>
        <w:bottom w:val="none" w:sz="0" w:space="0" w:color="auto"/>
        <w:right w:val="none" w:sz="0" w:space="0" w:color="auto"/>
      </w:divBdr>
    </w:div>
    <w:div w:id="1321931822">
      <w:bodyDiv w:val="1"/>
      <w:marLeft w:val="0"/>
      <w:marRight w:val="0"/>
      <w:marTop w:val="0"/>
      <w:marBottom w:val="0"/>
      <w:divBdr>
        <w:top w:val="none" w:sz="0" w:space="0" w:color="auto"/>
        <w:left w:val="none" w:sz="0" w:space="0" w:color="auto"/>
        <w:bottom w:val="none" w:sz="0" w:space="0" w:color="auto"/>
        <w:right w:val="none" w:sz="0" w:space="0" w:color="auto"/>
      </w:divBdr>
    </w:div>
    <w:div w:id="1387409319">
      <w:bodyDiv w:val="1"/>
      <w:marLeft w:val="0"/>
      <w:marRight w:val="0"/>
      <w:marTop w:val="0"/>
      <w:marBottom w:val="0"/>
      <w:divBdr>
        <w:top w:val="none" w:sz="0" w:space="0" w:color="auto"/>
        <w:left w:val="none" w:sz="0" w:space="0" w:color="auto"/>
        <w:bottom w:val="none" w:sz="0" w:space="0" w:color="auto"/>
        <w:right w:val="none" w:sz="0" w:space="0" w:color="auto"/>
      </w:divBdr>
    </w:div>
    <w:div w:id="1408921852">
      <w:bodyDiv w:val="1"/>
      <w:marLeft w:val="0"/>
      <w:marRight w:val="0"/>
      <w:marTop w:val="0"/>
      <w:marBottom w:val="0"/>
      <w:divBdr>
        <w:top w:val="none" w:sz="0" w:space="0" w:color="auto"/>
        <w:left w:val="none" w:sz="0" w:space="0" w:color="auto"/>
        <w:bottom w:val="none" w:sz="0" w:space="0" w:color="auto"/>
        <w:right w:val="none" w:sz="0" w:space="0" w:color="auto"/>
      </w:divBdr>
    </w:div>
    <w:div w:id="1410496802">
      <w:bodyDiv w:val="1"/>
      <w:marLeft w:val="0"/>
      <w:marRight w:val="0"/>
      <w:marTop w:val="0"/>
      <w:marBottom w:val="0"/>
      <w:divBdr>
        <w:top w:val="none" w:sz="0" w:space="0" w:color="auto"/>
        <w:left w:val="none" w:sz="0" w:space="0" w:color="auto"/>
        <w:bottom w:val="none" w:sz="0" w:space="0" w:color="auto"/>
        <w:right w:val="none" w:sz="0" w:space="0" w:color="auto"/>
      </w:divBdr>
    </w:div>
    <w:div w:id="1429421401">
      <w:bodyDiv w:val="1"/>
      <w:marLeft w:val="0"/>
      <w:marRight w:val="0"/>
      <w:marTop w:val="0"/>
      <w:marBottom w:val="0"/>
      <w:divBdr>
        <w:top w:val="none" w:sz="0" w:space="0" w:color="auto"/>
        <w:left w:val="none" w:sz="0" w:space="0" w:color="auto"/>
        <w:bottom w:val="none" w:sz="0" w:space="0" w:color="auto"/>
        <w:right w:val="none" w:sz="0" w:space="0" w:color="auto"/>
      </w:divBdr>
    </w:div>
    <w:div w:id="1490823310">
      <w:bodyDiv w:val="1"/>
      <w:marLeft w:val="0"/>
      <w:marRight w:val="0"/>
      <w:marTop w:val="0"/>
      <w:marBottom w:val="0"/>
      <w:divBdr>
        <w:top w:val="none" w:sz="0" w:space="0" w:color="auto"/>
        <w:left w:val="none" w:sz="0" w:space="0" w:color="auto"/>
        <w:bottom w:val="none" w:sz="0" w:space="0" w:color="auto"/>
        <w:right w:val="none" w:sz="0" w:space="0" w:color="auto"/>
      </w:divBdr>
    </w:div>
    <w:div w:id="1544714151">
      <w:bodyDiv w:val="1"/>
      <w:marLeft w:val="0"/>
      <w:marRight w:val="0"/>
      <w:marTop w:val="0"/>
      <w:marBottom w:val="0"/>
      <w:divBdr>
        <w:top w:val="none" w:sz="0" w:space="0" w:color="auto"/>
        <w:left w:val="none" w:sz="0" w:space="0" w:color="auto"/>
        <w:bottom w:val="none" w:sz="0" w:space="0" w:color="auto"/>
        <w:right w:val="none" w:sz="0" w:space="0" w:color="auto"/>
      </w:divBdr>
    </w:div>
    <w:div w:id="1560239446">
      <w:bodyDiv w:val="1"/>
      <w:marLeft w:val="0"/>
      <w:marRight w:val="0"/>
      <w:marTop w:val="0"/>
      <w:marBottom w:val="0"/>
      <w:divBdr>
        <w:top w:val="none" w:sz="0" w:space="0" w:color="auto"/>
        <w:left w:val="none" w:sz="0" w:space="0" w:color="auto"/>
        <w:bottom w:val="none" w:sz="0" w:space="0" w:color="auto"/>
        <w:right w:val="none" w:sz="0" w:space="0" w:color="auto"/>
      </w:divBdr>
    </w:div>
    <w:div w:id="1685858051">
      <w:bodyDiv w:val="1"/>
      <w:marLeft w:val="0"/>
      <w:marRight w:val="0"/>
      <w:marTop w:val="0"/>
      <w:marBottom w:val="0"/>
      <w:divBdr>
        <w:top w:val="none" w:sz="0" w:space="0" w:color="auto"/>
        <w:left w:val="none" w:sz="0" w:space="0" w:color="auto"/>
        <w:bottom w:val="none" w:sz="0" w:space="0" w:color="auto"/>
        <w:right w:val="none" w:sz="0" w:space="0" w:color="auto"/>
      </w:divBdr>
    </w:div>
    <w:div w:id="1736932978">
      <w:bodyDiv w:val="1"/>
      <w:marLeft w:val="0"/>
      <w:marRight w:val="0"/>
      <w:marTop w:val="0"/>
      <w:marBottom w:val="0"/>
      <w:divBdr>
        <w:top w:val="none" w:sz="0" w:space="0" w:color="auto"/>
        <w:left w:val="none" w:sz="0" w:space="0" w:color="auto"/>
        <w:bottom w:val="none" w:sz="0" w:space="0" w:color="auto"/>
        <w:right w:val="none" w:sz="0" w:space="0" w:color="auto"/>
      </w:divBdr>
    </w:div>
    <w:div w:id="1767313246">
      <w:bodyDiv w:val="1"/>
      <w:marLeft w:val="0"/>
      <w:marRight w:val="0"/>
      <w:marTop w:val="0"/>
      <w:marBottom w:val="0"/>
      <w:divBdr>
        <w:top w:val="none" w:sz="0" w:space="0" w:color="auto"/>
        <w:left w:val="none" w:sz="0" w:space="0" w:color="auto"/>
        <w:bottom w:val="none" w:sz="0" w:space="0" w:color="auto"/>
        <w:right w:val="none" w:sz="0" w:space="0" w:color="auto"/>
      </w:divBdr>
    </w:div>
    <w:div w:id="1783962206">
      <w:bodyDiv w:val="1"/>
      <w:marLeft w:val="0"/>
      <w:marRight w:val="0"/>
      <w:marTop w:val="0"/>
      <w:marBottom w:val="0"/>
      <w:divBdr>
        <w:top w:val="none" w:sz="0" w:space="0" w:color="auto"/>
        <w:left w:val="none" w:sz="0" w:space="0" w:color="auto"/>
        <w:bottom w:val="none" w:sz="0" w:space="0" w:color="auto"/>
        <w:right w:val="none" w:sz="0" w:space="0" w:color="auto"/>
      </w:divBdr>
    </w:div>
    <w:div w:id="1798209522">
      <w:bodyDiv w:val="1"/>
      <w:marLeft w:val="0"/>
      <w:marRight w:val="0"/>
      <w:marTop w:val="0"/>
      <w:marBottom w:val="0"/>
      <w:divBdr>
        <w:top w:val="none" w:sz="0" w:space="0" w:color="auto"/>
        <w:left w:val="none" w:sz="0" w:space="0" w:color="auto"/>
        <w:bottom w:val="none" w:sz="0" w:space="0" w:color="auto"/>
        <w:right w:val="none" w:sz="0" w:space="0" w:color="auto"/>
      </w:divBdr>
    </w:div>
    <w:div w:id="1822456860">
      <w:bodyDiv w:val="1"/>
      <w:marLeft w:val="0"/>
      <w:marRight w:val="0"/>
      <w:marTop w:val="0"/>
      <w:marBottom w:val="0"/>
      <w:divBdr>
        <w:top w:val="none" w:sz="0" w:space="0" w:color="auto"/>
        <w:left w:val="none" w:sz="0" w:space="0" w:color="auto"/>
        <w:bottom w:val="none" w:sz="0" w:space="0" w:color="auto"/>
        <w:right w:val="none" w:sz="0" w:space="0" w:color="auto"/>
      </w:divBdr>
    </w:div>
    <w:div w:id="1836803186">
      <w:bodyDiv w:val="1"/>
      <w:marLeft w:val="0"/>
      <w:marRight w:val="0"/>
      <w:marTop w:val="0"/>
      <w:marBottom w:val="0"/>
      <w:divBdr>
        <w:top w:val="none" w:sz="0" w:space="0" w:color="auto"/>
        <w:left w:val="none" w:sz="0" w:space="0" w:color="auto"/>
        <w:bottom w:val="none" w:sz="0" w:space="0" w:color="auto"/>
        <w:right w:val="none" w:sz="0" w:space="0" w:color="auto"/>
      </w:divBdr>
    </w:div>
    <w:div w:id="1918202763">
      <w:bodyDiv w:val="1"/>
      <w:marLeft w:val="0"/>
      <w:marRight w:val="0"/>
      <w:marTop w:val="0"/>
      <w:marBottom w:val="0"/>
      <w:divBdr>
        <w:top w:val="none" w:sz="0" w:space="0" w:color="auto"/>
        <w:left w:val="none" w:sz="0" w:space="0" w:color="auto"/>
        <w:bottom w:val="none" w:sz="0" w:space="0" w:color="auto"/>
        <w:right w:val="none" w:sz="0" w:space="0" w:color="auto"/>
      </w:divBdr>
    </w:div>
    <w:div w:id="1949115456">
      <w:bodyDiv w:val="1"/>
      <w:marLeft w:val="0"/>
      <w:marRight w:val="0"/>
      <w:marTop w:val="0"/>
      <w:marBottom w:val="0"/>
      <w:divBdr>
        <w:top w:val="none" w:sz="0" w:space="0" w:color="auto"/>
        <w:left w:val="none" w:sz="0" w:space="0" w:color="auto"/>
        <w:bottom w:val="none" w:sz="0" w:space="0" w:color="auto"/>
        <w:right w:val="none" w:sz="0" w:space="0" w:color="auto"/>
      </w:divBdr>
    </w:div>
    <w:div w:id="1962573172">
      <w:bodyDiv w:val="1"/>
      <w:marLeft w:val="0"/>
      <w:marRight w:val="0"/>
      <w:marTop w:val="0"/>
      <w:marBottom w:val="0"/>
      <w:divBdr>
        <w:top w:val="none" w:sz="0" w:space="0" w:color="auto"/>
        <w:left w:val="none" w:sz="0" w:space="0" w:color="auto"/>
        <w:bottom w:val="none" w:sz="0" w:space="0" w:color="auto"/>
        <w:right w:val="none" w:sz="0" w:space="0" w:color="auto"/>
      </w:divBdr>
    </w:div>
    <w:div w:id="1974014848">
      <w:bodyDiv w:val="1"/>
      <w:marLeft w:val="0"/>
      <w:marRight w:val="0"/>
      <w:marTop w:val="0"/>
      <w:marBottom w:val="0"/>
      <w:divBdr>
        <w:top w:val="none" w:sz="0" w:space="0" w:color="auto"/>
        <w:left w:val="none" w:sz="0" w:space="0" w:color="auto"/>
        <w:bottom w:val="none" w:sz="0" w:space="0" w:color="auto"/>
        <w:right w:val="none" w:sz="0" w:space="0" w:color="auto"/>
      </w:divBdr>
    </w:div>
    <w:div w:id="2003000849">
      <w:bodyDiv w:val="1"/>
      <w:marLeft w:val="0"/>
      <w:marRight w:val="0"/>
      <w:marTop w:val="0"/>
      <w:marBottom w:val="0"/>
      <w:divBdr>
        <w:top w:val="none" w:sz="0" w:space="0" w:color="auto"/>
        <w:left w:val="none" w:sz="0" w:space="0" w:color="auto"/>
        <w:bottom w:val="none" w:sz="0" w:space="0" w:color="auto"/>
        <w:right w:val="none" w:sz="0" w:space="0" w:color="auto"/>
      </w:divBdr>
    </w:div>
    <w:div w:id="2037726813">
      <w:bodyDiv w:val="1"/>
      <w:marLeft w:val="0"/>
      <w:marRight w:val="0"/>
      <w:marTop w:val="0"/>
      <w:marBottom w:val="0"/>
      <w:divBdr>
        <w:top w:val="none" w:sz="0" w:space="0" w:color="auto"/>
        <w:left w:val="none" w:sz="0" w:space="0" w:color="auto"/>
        <w:bottom w:val="none" w:sz="0" w:space="0" w:color="auto"/>
        <w:right w:val="none" w:sz="0" w:space="0" w:color="auto"/>
      </w:divBdr>
    </w:div>
    <w:div w:id="2069843704">
      <w:bodyDiv w:val="1"/>
      <w:marLeft w:val="0"/>
      <w:marRight w:val="0"/>
      <w:marTop w:val="0"/>
      <w:marBottom w:val="0"/>
      <w:divBdr>
        <w:top w:val="none" w:sz="0" w:space="0" w:color="auto"/>
        <w:left w:val="none" w:sz="0" w:space="0" w:color="auto"/>
        <w:bottom w:val="none" w:sz="0" w:space="0" w:color="auto"/>
        <w:right w:val="none" w:sz="0" w:space="0" w:color="auto"/>
      </w:divBdr>
    </w:div>
    <w:div w:id="212411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Keith\Documents\Keith\Keith%20documents\Second%20edn\Data%20Files\GDP_change_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eith\Documents\Keith\Keith%20documents\Second%20edn\Data%20Files\GDP_change_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GDP Change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CPI_change!$F$1</c:f>
              <c:strCache>
                <c:ptCount val="1"/>
                <c:pt idx="0">
                  <c:v>3-term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CPI_change!$E$2:$E$16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xVal>
          <c:yVal>
            <c:numRef>
              <c:f>CPI_change!$F$2:$F$16</c:f>
              <c:numCache>
                <c:formatCode>0.00</c:formatCode>
                <c:ptCount val="15"/>
                <c:pt idx="0">
                  <c:v>2.3723878557387801</c:v>
                </c:pt>
                <c:pt idx="1">
                  <c:v>2.7970185291091201</c:v>
                </c:pt>
                <c:pt idx="2">
                  <c:v>2.5963533389531399</c:v>
                </c:pt>
                <c:pt idx="3">
                  <c:v>2.2274325729070665</c:v>
                </c:pt>
                <c:pt idx="4">
                  <c:v>2.17778776431956</c:v>
                </c:pt>
                <c:pt idx="5">
                  <c:v>2.7800261706494402</c:v>
                </c:pt>
                <c:pt idx="6">
                  <c:v>3.0986425464304266</c:v>
                </c:pt>
                <c:pt idx="7">
                  <c:v>3.1571211425669699</c:v>
                </c:pt>
                <c:pt idx="8">
                  <c:v>3.3059056262854796</c:v>
                </c:pt>
                <c:pt idx="9">
                  <c:v>2.1120755039508796</c:v>
                </c:pt>
                <c:pt idx="10">
                  <c:v>1.707865824247053</c:v>
                </c:pt>
                <c:pt idx="11">
                  <c:v>1.4804462482374563</c:v>
                </c:pt>
                <c:pt idx="12">
                  <c:v>2.2887407587575637</c:v>
                </c:pt>
                <c:pt idx="13">
                  <c:v>2.2303371631698803</c:v>
                </c:pt>
                <c:pt idx="14">
                  <c:v>1.7187976327653134</c:v>
                </c:pt>
              </c:numCache>
            </c:numRef>
          </c:yVal>
          <c:smooth val="0"/>
          <c:extLst>
            <c:ext xmlns:c16="http://schemas.microsoft.com/office/drawing/2014/chart" uri="{C3380CC4-5D6E-409C-BE32-E72D297353CC}">
              <c16:uniqueId val="{00000000-1135-4B51-B36E-F03F849E0D21}"/>
            </c:ext>
          </c:extLst>
        </c:ser>
        <c:ser>
          <c:idx val="1"/>
          <c:order val="1"/>
          <c:tx>
            <c:strRef>
              <c:f>CPI_change!$G$1</c:f>
              <c:strCache>
                <c:ptCount val="1"/>
                <c:pt idx="0">
                  <c:v>7-term</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CPI_change!$E$2:$E$16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xVal>
          <c:yVal>
            <c:numRef>
              <c:f>CPI_change!$G$2:$G$16</c:f>
              <c:numCache>
                <c:formatCode>0.00</c:formatCode>
                <c:ptCount val="15"/>
                <c:pt idx="0">
                  <c:v>2.5427027121642469</c:v>
                </c:pt>
                <c:pt idx="1">
                  <c:v>2.573949787407023</c:v>
                </c:pt>
                <c:pt idx="2">
                  <c:v>2.3997514928312311</c:v>
                </c:pt>
                <c:pt idx="3">
                  <c:v>2.3053073176064496</c:v>
                </c:pt>
                <c:pt idx="4">
                  <c:v>2.3538139970041816</c:v>
                </c:pt>
                <c:pt idx="5">
                  <c:v>2.61673796082593</c:v>
                </c:pt>
                <c:pt idx="6">
                  <c:v>2.7650118042159741</c:v>
                </c:pt>
                <c:pt idx="7">
                  <c:v>2.6901282627876917</c:v>
                </c:pt>
                <c:pt idx="8">
                  <c:v>2.83483243104437</c:v>
                </c:pt>
                <c:pt idx="9">
                  <c:v>2.5574641606435766</c:v>
                </c:pt>
                <c:pt idx="10">
                  <c:v>2.467456799076257</c:v>
                </c:pt>
                <c:pt idx="11">
                  <c:v>2.5359717812948968</c:v>
                </c:pt>
                <c:pt idx="12">
                  <c:v>2.3469132698327724</c:v>
                </c:pt>
                <c:pt idx="13">
                  <c:v>2.0953259205360228</c:v>
                </c:pt>
                <c:pt idx="14">
                  <c:v>1.91954741995133</c:v>
                </c:pt>
              </c:numCache>
            </c:numRef>
          </c:yVal>
          <c:smooth val="0"/>
          <c:extLst>
            <c:ext xmlns:c16="http://schemas.microsoft.com/office/drawing/2014/chart" uri="{C3380CC4-5D6E-409C-BE32-E72D297353CC}">
              <c16:uniqueId val="{00000001-1135-4B51-B36E-F03F849E0D21}"/>
            </c:ext>
          </c:extLst>
        </c:ser>
        <c:ser>
          <c:idx val="2"/>
          <c:order val="2"/>
          <c:tx>
            <c:strRef>
              <c:f>CPI_change!$H$1</c:f>
              <c:strCache>
                <c:ptCount val="1"/>
                <c:pt idx="0">
                  <c:v>Actual</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CPI_change!$E$2:$E$16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xVal>
          <c:yVal>
            <c:numRef>
              <c:f>CPI_change!$H$2:$H$16</c:f>
              <c:numCache>
                <c:formatCode>0.0</c:formatCode>
                <c:ptCount val="15"/>
                <c:pt idx="0">
                  <c:v>2.82617111885425</c:v>
                </c:pt>
                <c:pt idx="1">
                  <c:v>1.5860316265058301</c:v>
                </c:pt>
                <c:pt idx="2">
                  <c:v>2.27009497336112</c:v>
                </c:pt>
                <c:pt idx="3">
                  <c:v>2.67723669309173</c:v>
                </c:pt>
                <c:pt idx="4">
                  <c:v>3.3927468454954699</c:v>
                </c:pt>
                <c:pt idx="5">
                  <c:v>3.2259441007040799</c:v>
                </c:pt>
                <c:pt idx="6">
                  <c:v>2.8526724815013602</c:v>
                </c:pt>
                <c:pt idx="7">
                  <c:v>3.8391002966509999</c:v>
                </c:pt>
                <c:pt idx="8">
                  <c:v>-0.35554626629972103</c:v>
                </c:pt>
                <c:pt idx="9">
                  <c:v>1.64004344238988</c:v>
                </c:pt>
                <c:pt idx="10">
                  <c:v>3.1568415686222102</c:v>
                </c:pt>
                <c:pt idx="11">
                  <c:v>2.0693372652606001</c:v>
                </c:pt>
                <c:pt idx="12">
                  <c:v>1.4648326556268301</c:v>
                </c:pt>
                <c:pt idx="13">
                  <c:v>1.62222297740851</c:v>
                </c:pt>
                <c:pt idx="14">
                  <c:v>0.11862713555231701</c:v>
                </c:pt>
              </c:numCache>
            </c:numRef>
          </c:yVal>
          <c:smooth val="0"/>
          <c:extLst>
            <c:ext xmlns:c16="http://schemas.microsoft.com/office/drawing/2014/chart" uri="{C3380CC4-5D6E-409C-BE32-E72D297353CC}">
              <c16:uniqueId val="{00000002-1135-4B51-B36E-F03F849E0D21}"/>
            </c:ext>
          </c:extLst>
        </c:ser>
        <c:dLbls>
          <c:showLegendKey val="0"/>
          <c:showVal val="0"/>
          <c:showCatName val="0"/>
          <c:showSerName val="0"/>
          <c:showPercent val="0"/>
          <c:showBubbleSize val="0"/>
        </c:dLbls>
        <c:axId val="131233112"/>
        <c:axId val="131233504"/>
      </c:scatterChart>
      <c:valAx>
        <c:axId val="13123311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3504"/>
        <c:crosses val="autoZero"/>
        <c:crossBetween val="midCat"/>
      </c:valAx>
      <c:valAx>
        <c:axId val="131233504"/>
        <c:scaling>
          <c:orientation val="minMax"/>
        </c:scaling>
        <c:delete val="0"/>
        <c:axPos val="l"/>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3112"/>
        <c:crosses val="autoZero"/>
        <c:crossBetween val="midCat"/>
        <c:majorUnit val="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CPI Change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CPI_change!$F$1</c:f>
              <c:strCache>
                <c:ptCount val="1"/>
                <c:pt idx="0">
                  <c:v>3-term</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CPI_change!$E$2:$E$16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xVal>
          <c:yVal>
            <c:numRef>
              <c:f>CPI_change!$F$2:$F$16</c:f>
              <c:numCache>
                <c:formatCode>0.00</c:formatCode>
                <c:ptCount val="15"/>
                <c:pt idx="0">
                  <c:v>2.3723878557387801</c:v>
                </c:pt>
                <c:pt idx="1">
                  <c:v>2.7970185291091201</c:v>
                </c:pt>
                <c:pt idx="2">
                  <c:v>2.5963533389531399</c:v>
                </c:pt>
                <c:pt idx="3">
                  <c:v>2.2274325729070665</c:v>
                </c:pt>
                <c:pt idx="4">
                  <c:v>2.17778776431956</c:v>
                </c:pt>
                <c:pt idx="5">
                  <c:v>2.7800261706494402</c:v>
                </c:pt>
                <c:pt idx="6">
                  <c:v>3.0986425464304266</c:v>
                </c:pt>
                <c:pt idx="7">
                  <c:v>3.1571211425669699</c:v>
                </c:pt>
                <c:pt idx="8">
                  <c:v>3.3059056262854796</c:v>
                </c:pt>
                <c:pt idx="9">
                  <c:v>2.1120755039508796</c:v>
                </c:pt>
                <c:pt idx="10">
                  <c:v>1.707865824247053</c:v>
                </c:pt>
                <c:pt idx="11">
                  <c:v>1.4804462482374563</c:v>
                </c:pt>
                <c:pt idx="12">
                  <c:v>2.2887407587575637</c:v>
                </c:pt>
                <c:pt idx="13">
                  <c:v>2.2303371631698803</c:v>
                </c:pt>
                <c:pt idx="14">
                  <c:v>1.7187976327653134</c:v>
                </c:pt>
              </c:numCache>
            </c:numRef>
          </c:yVal>
          <c:smooth val="0"/>
          <c:extLst>
            <c:ext xmlns:c16="http://schemas.microsoft.com/office/drawing/2014/chart" uri="{C3380CC4-5D6E-409C-BE32-E72D297353CC}">
              <c16:uniqueId val="{00000000-E173-48B0-B53C-0CCC78660A76}"/>
            </c:ext>
          </c:extLst>
        </c:ser>
        <c:ser>
          <c:idx val="1"/>
          <c:order val="1"/>
          <c:tx>
            <c:strRef>
              <c:f>CPI_change!$G$1</c:f>
              <c:strCache>
                <c:ptCount val="1"/>
                <c:pt idx="0">
                  <c:v>7-term</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CPI_change!$E$2:$E$16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xVal>
          <c:yVal>
            <c:numRef>
              <c:f>CPI_change!$G$2:$G$16</c:f>
              <c:numCache>
                <c:formatCode>0.00</c:formatCode>
                <c:ptCount val="15"/>
                <c:pt idx="0">
                  <c:v>2.5427027121642469</c:v>
                </c:pt>
                <c:pt idx="1">
                  <c:v>2.573949787407023</c:v>
                </c:pt>
                <c:pt idx="2">
                  <c:v>2.3997514928312311</c:v>
                </c:pt>
                <c:pt idx="3">
                  <c:v>2.3053073176064496</c:v>
                </c:pt>
                <c:pt idx="4">
                  <c:v>2.3538139970041816</c:v>
                </c:pt>
                <c:pt idx="5">
                  <c:v>2.61673796082593</c:v>
                </c:pt>
                <c:pt idx="6">
                  <c:v>2.7650118042159741</c:v>
                </c:pt>
                <c:pt idx="7">
                  <c:v>2.6901282627876917</c:v>
                </c:pt>
                <c:pt idx="8">
                  <c:v>2.83483243104437</c:v>
                </c:pt>
                <c:pt idx="9">
                  <c:v>2.5574641606435766</c:v>
                </c:pt>
                <c:pt idx="10">
                  <c:v>2.467456799076257</c:v>
                </c:pt>
                <c:pt idx="11">
                  <c:v>2.5359717812948968</c:v>
                </c:pt>
                <c:pt idx="12">
                  <c:v>2.3469132698327724</c:v>
                </c:pt>
                <c:pt idx="13">
                  <c:v>2.0953259205360228</c:v>
                </c:pt>
                <c:pt idx="14">
                  <c:v>1.91954741995133</c:v>
                </c:pt>
              </c:numCache>
            </c:numRef>
          </c:yVal>
          <c:smooth val="0"/>
          <c:extLst>
            <c:ext xmlns:c16="http://schemas.microsoft.com/office/drawing/2014/chart" uri="{C3380CC4-5D6E-409C-BE32-E72D297353CC}">
              <c16:uniqueId val="{00000001-E173-48B0-B53C-0CCC78660A76}"/>
            </c:ext>
          </c:extLst>
        </c:ser>
        <c:ser>
          <c:idx val="2"/>
          <c:order val="2"/>
          <c:tx>
            <c:strRef>
              <c:f>CPI_change!$H$1</c:f>
              <c:strCache>
                <c:ptCount val="1"/>
                <c:pt idx="0">
                  <c:v>Actual</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CPI_change!$E$2:$E$16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xVal>
          <c:yVal>
            <c:numRef>
              <c:f>CPI_change!$H$2:$H$16</c:f>
              <c:numCache>
                <c:formatCode>0.0</c:formatCode>
                <c:ptCount val="15"/>
                <c:pt idx="0">
                  <c:v>2.82617111885425</c:v>
                </c:pt>
                <c:pt idx="1">
                  <c:v>1.5860316265058301</c:v>
                </c:pt>
                <c:pt idx="2">
                  <c:v>2.27009497336112</c:v>
                </c:pt>
                <c:pt idx="3">
                  <c:v>2.67723669309173</c:v>
                </c:pt>
                <c:pt idx="4">
                  <c:v>3.3927468454954699</c:v>
                </c:pt>
                <c:pt idx="5">
                  <c:v>3.2259441007040799</c:v>
                </c:pt>
                <c:pt idx="6">
                  <c:v>2.8526724815013602</c:v>
                </c:pt>
                <c:pt idx="7">
                  <c:v>3.8391002966509999</c:v>
                </c:pt>
                <c:pt idx="8">
                  <c:v>-0.35554626629972103</c:v>
                </c:pt>
                <c:pt idx="9">
                  <c:v>1.64004344238988</c:v>
                </c:pt>
                <c:pt idx="10">
                  <c:v>3.1568415686222102</c:v>
                </c:pt>
                <c:pt idx="11">
                  <c:v>2.0693372652606001</c:v>
                </c:pt>
                <c:pt idx="12">
                  <c:v>1.4648326556268301</c:v>
                </c:pt>
                <c:pt idx="13">
                  <c:v>1.62222297740851</c:v>
                </c:pt>
                <c:pt idx="14">
                  <c:v>0.11862713555231701</c:v>
                </c:pt>
              </c:numCache>
            </c:numRef>
          </c:yVal>
          <c:smooth val="0"/>
          <c:extLst>
            <c:ext xmlns:c16="http://schemas.microsoft.com/office/drawing/2014/chart" uri="{C3380CC4-5D6E-409C-BE32-E72D297353CC}">
              <c16:uniqueId val="{00000002-E173-48B0-B53C-0CCC78660A76}"/>
            </c:ext>
          </c:extLst>
        </c:ser>
        <c:dLbls>
          <c:showLegendKey val="0"/>
          <c:showVal val="0"/>
          <c:showCatName val="0"/>
          <c:showSerName val="0"/>
          <c:showPercent val="0"/>
          <c:showBubbleSize val="0"/>
        </c:dLbls>
        <c:axId val="131234288"/>
        <c:axId val="131234680"/>
      </c:scatterChart>
      <c:valAx>
        <c:axId val="13123428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4680"/>
        <c:crosses val="autoZero"/>
        <c:crossBetween val="midCat"/>
      </c:valAx>
      <c:valAx>
        <c:axId val="131234680"/>
        <c:scaling>
          <c:orientation val="minMax"/>
        </c:scaling>
        <c:delete val="0"/>
        <c:axPos val="l"/>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4288"/>
        <c:crosses val="autoZero"/>
        <c:crossBetween val="midCat"/>
        <c:majorUnit val="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Ketih</dc:creator>
  <cp:lastModifiedBy>Fildes, Robert</cp:lastModifiedBy>
  <cp:revision>10</cp:revision>
  <dcterms:created xsi:type="dcterms:W3CDTF">2017-08-16T12:47:00Z</dcterms:created>
  <dcterms:modified xsi:type="dcterms:W3CDTF">2017-09-01T17:10:00Z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